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E0C9B" w14:textId="4F92FD48" w:rsidR="00A34E8D" w:rsidRDefault="00A34E8D" w:rsidP="005B54A7">
      <w:pPr>
        <w:jc w:val="center"/>
        <w:rPr>
          <w:b/>
          <w:bCs/>
          <w:sz w:val="32"/>
          <w:szCs w:val="32"/>
        </w:rPr>
      </w:pPr>
      <w:r w:rsidRPr="005B54A7">
        <w:rPr>
          <w:b/>
          <w:bCs/>
          <w:sz w:val="32"/>
          <w:szCs w:val="32"/>
        </w:rPr>
        <w:t xml:space="preserve">Searching for Answers: Using Google Trends data to inform Long COVID </w:t>
      </w:r>
      <w:r w:rsidR="005B54A7">
        <w:rPr>
          <w:b/>
          <w:bCs/>
          <w:sz w:val="32"/>
          <w:szCs w:val="32"/>
        </w:rPr>
        <w:t>S</w:t>
      </w:r>
      <w:r w:rsidRPr="005B54A7">
        <w:rPr>
          <w:b/>
          <w:bCs/>
          <w:sz w:val="32"/>
          <w:szCs w:val="32"/>
        </w:rPr>
        <w:t xml:space="preserve">ervice </w:t>
      </w:r>
      <w:r w:rsidR="005B54A7">
        <w:rPr>
          <w:b/>
          <w:bCs/>
          <w:sz w:val="32"/>
          <w:szCs w:val="32"/>
        </w:rPr>
        <w:t>P</w:t>
      </w:r>
      <w:r w:rsidRPr="005B54A7">
        <w:rPr>
          <w:b/>
          <w:bCs/>
          <w:sz w:val="32"/>
          <w:szCs w:val="32"/>
        </w:rPr>
        <w:t>rovision</w:t>
      </w:r>
    </w:p>
    <w:p w14:paraId="550B84E7" w14:textId="77777777" w:rsidR="005B54A7" w:rsidRPr="005B54A7" w:rsidRDefault="005B54A7" w:rsidP="005B54A7">
      <w:pPr>
        <w:jc w:val="center"/>
        <w:rPr>
          <w:b/>
          <w:bCs/>
          <w:sz w:val="32"/>
          <w:szCs w:val="32"/>
        </w:rPr>
      </w:pPr>
    </w:p>
    <w:p w14:paraId="7C81B821" w14:textId="329C5AA6" w:rsidR="00A34E8D" w:rsidRDefault="00A34E8D"/>
    <w:p w14:paraId="309EC4FC" w14:textId="3001A3A9" w:rsidR="005B54A7" w:rsidRDefault="00A34E8D">
      <w:pPr>
        <w:rPr>
          <w:vertAlign w:val="superscript"/>
        </w:rPr>
      </w:pPr>
      <w:r>
        <w:t>T</w:t>
      </w:r>
      <w:r w:rsidR="005B54A7">
        <w:t>imothy</w:t>
      </w:r>
      <w:r>
        <w:t xml:space="preserve"> Robbins</w:t>
      </w:r>
      <w:r w:rsidR="005B54A7">
        <w:rPr>
          <w:vertAlign w:val="superscript"/>
        </w:rPr>
        <w:t>1,2</w:t>
      </w:r>
      <w:r>
        <w:t>, K</w:t>
      </w:r>
      <w:r w:rsidR="004A1D1C">
        <w:t>amlesh</w:t>
      </w:r>
      <w:r>
        <w:t xml:space="preserve"> Patel</w:t>
      </w:r>
      <w:r w:rsidR="005B54A7">
        <w:rPr>
          <w:vertAlign w:val="superscript"/>
        </w:rPr>
        <w:t>1,3</w:t>
      </w:r>
    </w:p>
    <w:p w14:paraId="1ED25885" w14:textId="77777777" w:rsidR="005B54A7" w:rsidRDefault="005B54A7">
      <w:pPr>
        <w:rPr>
          <w:vertAlign w:val="superscript"/>
        </w:rPr>
      </w:pPr>
    </w:p>
    <w:p w14:paraId="75414473" w14:textId="77777777" w:rsidR="005B54A7" w:rsidRDefault="005B54A7">
      <w:pPr>
        <w:rPr>
          <w:vertAlign w:val="superscript"/>
        </w:rPr>
      </w:pPr>
    </w:p>
    <w:p w14:paraId="334E55BE" w14:textId="790FC462" w:rsidR="00A34E8D" w:rsidRDefault="00890A14" w:rsidP="007F0FE7">
      <w:pPr>
        <w:pStyle w:val="ListParagraph"/>
        <w:numPr>
          <w:ilvl w:val="0"/>
          <w:numId w:val="13"/>
        </w:numPr>
        <w:jc w:val="both"/>
      </w:pPr>
      <w:r>
        <w:t xml:space="preserve">Midlands Clinical Senates: </w:t>
      </w:r>
      <w:r w:rsidR="00267364">
        <w:t xml:space="preserve">East </w:t>
      </w:r>
      <w:r w:rsidR="005B54A7" w:rsidRPr="005B54A7">
        <w:t>Midlands Clinical Senate, NHS England (Midlands), Bi</w:t>
      </w:r>
      <w:r w:rsidR="005B54A7" w:rsidRPr="005B54A7">
        <w:rPr>
          <w:rStyle w:val="Emphasis"/>
          <w:rFonts w:eastAsiaTheme="majorEastAsia" w:cs="Arial"/>
          <w:i w:val="0"/>
          <w:iCs w:val="0"/>
          <w:shd w:val="clear" w:color="auto" w:fill="FFFFFF"/>
        </w:rPr>
        <w:t>rch House Ransom Wood Business Park Southwell Road West Rainworth Nottingham NG21 0HJ</w:t>
      </w:r>
      <w:r w:rsidR="005B54A7">
        <w:rPr>
          <w:rStyle w:val="Emphasis"/>
          <w:rFonts w:eastAsiaTheme="majorEastAsia" w:cs="Arial"/>
          <w:i w:val="0"/>
          <w:iCs w:val="0"/>
          <w:shd w:val="clear" w:color="auto" w:fill="FFFFFF"/>
        </w:rPr>
        <w:t>, United Kingdom</w:t>
      </w:r>
      <w:r w:rsidR="00267364">
        <w:t xml:space="preserve"> and West Midlands Clinical Senate, NHS </w:t>
      </w:r>
      <w:r w:rsidR="000E4B17">
        <w:t xml:space="preserve">England </w:t>
      </w:r>
      <w:r w:rsidR="00267364">
        <w:t xml:space="preserve">(Midlands) </w:t>
      </w:r>
      <w:r w:rsidR="007F0FE7" w:rsidRPr="007F0FE7">
        <w:t>23 Stephenson Street</w:t>
      </w:r>
      <w:r w:rsidR="0002477E">
        <w:t xml:space="preserve"> </w:t>
      </w:r>
      <w:r w:rsidR="007F0FE7" w:rsidRPr="007F0FE7">
        <w:t>Birmingham</w:t>
      </w:r>
      <w:r w:rsidR="0002477E">
        <w:t xml:space="preserve"> </w:t>
      </w:r>
      <w:r w:rsidR="007F0FE7" w:rsidRPr="007F0FE7">
        <w:t>B2 4BJ</w:t>
      </w:r>
      <w:r w:rsidR="002E69D8">
        <w:t xml:space="preserve">, United Kingdom </w:t>
      </w:r>
      <w:r>
        <w:t xml:space="preserve"> </w:t>
      </w:r>
    </w:p>
    <w:p w14:paraId="5AE1C94D" w14:textId="6B667F04" w:rsidR="005B54A7" w:rsidRDefault="005B54A7" w:rsidP="005B54A7">
      <w:pPr>
        <w:pStyle w:val="ListParagraph"/>
        <w:numPr>
          <w:ilvl w:val="0"/>
          <w:numId w:val="13"/>
        </w:numPr>
        <w:jc w:val="both"/>
      </w:pPr>
      <w:r>
        <w:t>University Hospitals Coventry &amp; Warwickshire NHS Trust, Clifford Bridge Road, Coventry, CV2 2DX, United Kingdom</w:t>
      </w:r>
    </w:p>
    <w:p w14:paraId="0FE2F76E" w14:textId="5AEA1D3F" w:rsidR="005B54A7" w:rsidRDefault="00691901" w:rsidP="00691901">
      <w:pPr>
        <w:pStyle w:val="ListParagraph"/>
        <w:numPr>
          <w:ilvl w:val="0"/>
          <w:numId w:val="13"/>
        </w:numPr>
      </w:pPr>
      <w:r>
        <w:t>Queen Elizabeth Hospital, University Hospitals Birmingham NHS Foundation Trust, Mindelsohn Way, Edgbaston B15 2TH</w:t>
      </w:r>
      <w:r w:rsidR="002E69D8">
        <w:t xml:space="preserve">, United Kingdom </w:t>
      </w:r>
    </w:p>
    <w:p w14:paraId="321B81E2" w14:textId="64527C4A" w:rsidR="005B54A7" w:rsidRDefault="005B54A7" w:rsidP="005B54A7">
      <w:pPr>
        <w:jc w:val="both"/>
      </w:pPr>
    </w:p>
    <w:p w14:paraId="4B76FDC5" w14:textId="071F2C2C" w:rsidR="005B54A7" w:rsidRPr="005B54A7" w:rsidRDefault="005B54A7" w:rsidP="005B54A7">
      <w:pPr>
        <w:jc w:val="both"/>
        <w:rPr>
          <w:b/>
          <w:bCs/>
        </w:rPr>
      </w:pPr>
      <w:r w:rsidRPr="005B54A7">
        <w:rPr>
          <w:b/>
          <w:bCs/>
        </w:rPr>
        <w:t>Conflicts of Interest:</w:t>
      </w:r>
    </w:p>
    <w:p w14:paraId="51EE4762" w14:textId="3D356BAB" w:rsidR="005B54A7" w:rsidRDefault="005B54A7" w:rsidP="005B54A7">
      <w:pPr>
        <w:jc w:val="both"/>
      </w:pPr>
    </w:p>
    <w:p w14:paraId="45705CA2" w14:textId="029E80B5" w:rsidR="005B54A7" w:rsidRDefault="005B54A7" w:rsidP="005B54A7">
      <w:pPr>
        <w:jc w:val="both"/>
      </w:pPr>
    </w:p>
    <w:p w14:paraId="15BC48AB" w14:textId="5E2D06C5" w:rsidR="005B54A7" w:rsidRDefault="005B54A7" w:rsidP="005B54A7">
      <w:pPr>
        <w:jc w:val="both"/>
      </w:pPr>
      <w:r>
        <w:t>Dr Tim Robbins has been appointed the Post COVID Lead for NHS England (Midlands).</w:t>
      </w:r>
    </w:p>
    <w:p w14:paraId="0069A7DC" w14:textId="705952CC" w:rsidR="005B54A7" w:rsidRDefault="005B54A7" w:rsidP="005B54A7">
      <w:pPr>
        <w:jc w:val="both"/>
      </w:pPr>
    </w:p>
    <w:p w14:paraId="2DCA5EF0" w14:textId="48E12481" w:rsidR="005B54A7" w:rsidRDefault="005B54A7" w:rsidP="005B54A7">
      <w:pPr>
        <w:jc w:val="both"/>
      </w:pPr>
      <w:r>
        <w:t>No other conflicts of interest to declare</w:t>
      </w:r>
    </w:p>
    <w:p w14:paraId="004250A5" w14:textId="0B1C6D03" w:rsidR="005B54A7" w:rsidRDefault="005B54A7" w:rsidP="005B54A7">
      <w:pPr>
        <w:jc w:val="both"/>
      </w:pPr>
    </w:p>
    <w:p w14:paraId="5C8EBFDE" w14:textId="6B637D34" w:rsidR="005B54A7" w:rsidRDefault="005B54A7" w:rsidP="005B54A7">
      <w:pPr>
        <w:jc w:val="both"/>
      </w:pPr>
    </w:p>
    <w:p w14:paraId="62C73571" w14:textId="1359338A" w:rsidR="005B54A7" w:rsidRPr="005B54A7" w:rsidRDefault="005B54A7" w:rsidP="005B54A7">
      <w:pPr>
        <w:jc w:val="both"/>
        <w:rPr>
          <w:b/>
          <w:bCs/>
        </w:rPr>
      </w:pPr>
      <w:r w:rsidRPr="005B54A7">
        <w:rPr>
          <w:b/>
          <w:bCs/>
        </w:rPr>
        <w:t>Funding:</w:t>
      </w:r>
    </w:p>
    <w:p w14:paraId="601AF4E5" w14:textId="0531E523" w:rsidR="005B54A7" w:rsidRDefault="005B54A7" w:rsidP="005B54A7">
      <w:pPr>
        <w:jc w:val="both"/>
      </w:pPr>
    </w:p>
    <w:p w14:paraId="6630316D" w14:textId="3D52B261" w:rsidR="005B54A7" w:rsidRPr="005B54A7" w:rsidRDefault="005B54A7" w:rsidP="005B54A7">
      <w:pPr>
        <w:jc w:val="both"/>
      </w:pPr>
      <w:r>
        <w:t>This work was completed as part of the Midlands</w:t>
      </w:r>
      <w:r w:rsidR="00890A14">
        <w:t xml:space="preserve"> Clinical Senates</w:t>
      </w:r>
      <w:r>
        <w:t xml:space="preserve"> Leadership Fellows Proactive Work</w:t>
      </w:r>
    </w:p>
    <w:p w14:paraId="643CEC9D" w14:textId="77777777" w:rsidR="005B54A7" w:rsidRDefault="005B54A7">
      <w:pPr>
        <w:sectPr w:rsidR="005B54A7" w:rsidSect="00AF5E65">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20" w:footer="720" w:gutter="0"/>
          <w:cols w:space="720"/>
          <w:docGrid w:linePitch="360"/>
        </w:sectPr>
      </w:pPr>
    </w:p>
    <w:p w14:paraId="70022807" w14:textId="77777777" w:rsidR="005B54A7" w:rsidRDefault="005B54A7"/>
    <w:p w14:paraId="285727BE" w14:textId="71B7B11A" w:rsidR="00A34E8D" w:rsidRDefault="00A34E8D"/>
    <w:p w14:paraId="2F122E4E" w14:textId="1A10E37F" w:rsidR="005B54A7" w:rsidRDefault="005B54A7" w:rsidP="00ED0FEF">
      <w:pPr>
        <w:jc w:val="center"/>
        <w:rPr>
          <w:b/>
          <w:bCs/>
        </w:rPr>
      </w:pPr>
      <w:r w:rsidRPr="005B54A7">
        <w:rPr>
          <w:b/>
          <w:bCs/>
        </w:rPr>
        <w:t>Abstract:</w:t>
      </w:r>
    </w:p>
    <w:p w14:paraId="14F43E74" w14:textId="790CAE45" w:rsidR="005D4062" w:rsidRDefault="005D4062" w:rsidP="00ED0FEF">
      <w:pPr>
        <w:jc w:val="center"/>
        <w:rPr>
          <w:b/>
          <w:bCs/>
        </w:rPr>
      </w:pPr>
    </w:p>
    <w:p w14:paraId="76868DDD" w14:textId="22FD60C8" w:rsidR="005D4062" w:rsidRDefault="005D4062" w:rsidP="00ED0FEF">
      <w:pPr>
        <w:jc w:val="center"/>
        <w:rPr>
          <w:b/>
          <w:bCs/>
        </w:rPr>
      </w:pPr>
    </w:p>
    <w:p w14:paraId="6D76981E" w14:textId="77777777" w:rsidR="005D4062" w:rsidRPr="005B54A7" w:rsidRDefault="005D4062" w:rsidP="00ED0FEF">
      <w:pPr>
        <w:jc w:val="center"/>
        <w:rPr>
          <w:b/>
          <w:bCs/>
        </w:rPr>
      </w:pPr>
    </w:p>
    <w:p w14:paraId="6E550A84" w14:textId="44228620" w:rsidR="00A34E8D" w:rsidRDefault="00A34E8D">
      <w:pPr>
        <w:rPr>
          <w:b/>
          <w:bCs/>
        </w:rPr>
      </w:pPr>
    </w:p>
    <w:p w14:paraId="7C4851B2" w14:textId="56FCFA20" w:rsidR="005B54A7" w:rsidRDefault="005B54A7" w:rsidP="005B54A7">
      <w:pPr>
        <w:jc w:val="both"/>
      </w:pPr>
      <w:r>
        <w:rPr>
          <w:b/>
          <w:bCs/>
        </w:rPr>
        <w:t xml:space="preserve">Background: </w:t>
      </w:r>
      <w:r w:rsidRPr="005B54A7">
        <w:t xml:space="preserve">Long COVID represents a new condition that has emerged following the </w:t>
      </w:r>
      <w:r>
        <w:t>COVID-19 pandemic, with uncertainty regarding who is most at risk, the pathophysiology o</w:t>
      </w:r>
      <w:r w:rsidR="006E6F43">
        <w:t>f</w:t>
      </w:r>
      <w:r>
        <w:t xml:space="preserve"> the disease, most effective treatments and mechanisms of action of those conditions. There is a need to rapidly build an evidence base to better support our understanding of this condition and how best to support people with it.</w:t>
      </w:r>
    </w:p>
    <w:p w14:paraId="76CF3F2F" w14:textId="07B7DC73" w:rsidR="005B54A7" w:rsidRDefault="005B54A7" w:rsidP="005B54A7">
      <w:pPr>
        <w:jc w:val="both"/>
      </w:pPr>
    </w:p>
    <w:p w14:paraId="3390CA52" w14:textId="04760971" w:rsidR="005B54A7" w:rsidRPr="005B54A7" w:rsidRDefault="005B54A7" w:rsidP="005B54A7">
      <w:pPr>
        <w:jc w:val="both"/>
        <w:rPr>
          <w:b/>
          <w:bCs/>
        </w:rPr>
      </w:pPr>
      <w:r w:rsidRPr="005B54A7">
        <w:rPr>
          <w:b/>
          <w:bCs/>
        </w:rPr>
        <w:t>Method:</w:t>
      </w:r>
      <w:r>
        <w:rPr>
          <w:b/>
          <w:bCs/>
        </w:rPr>
        <w:t xml:space="preserve"> </w:t>
      </w:r>
      <w:r w:rsidRPr="005B54A7">
        <w:t xml:space="preserve">Novel interrogation of publicly available Google Trends Data for information related to Long COVID or Post COVID syndrome. </w:t>
      </w:r>
      <w:r>
        <w:t xml:space="preserve">Google Trends </w:t>
      </w:r>
      <w:r w:rsidRPr="00877E97">
        <w:t>determines the proportion of searches for user-specified terms among all searches performed using Google.</w:t>
      </w:r>
      <w:r>
        <w:t xml:space="preserve"> </w:t>
      </w:r>
    </w:p>
    <w:p w14:paraId="418F2406" w14:textId="69FC2BE3" w:rsidR="005B54A7" w:rsidRDefault="005B54A7">
      <w:pPr>
        <w:rPr>
          <w:b/>
          <w:bCs/>
        </w:rPr>
      </w:pPr>
    </w:p>
    <w:p w14:paraId="0A2C9D74" w14:textId="2696BDA3" w:rsidR="005B54A7" w:rsidRDefault="005B54A7">
      <w:pPr>
        <w:rPr>
          <w:b/>
          <w:bCs/>
        </w:rPr>
      </w:pPr>
      <w:r>
        <w:rPr>
          <w:b/>
          <w:bCs/>
        </w:rPr>
        <w:t xml:space="preserve">Results: </w:t>
      </w:r>
      <w:r w:rsidRPr="005B54A7">
        <w:t xml:space="preserve">Google </w:t>
      </w:r>
      <w:r w:rsidR="006E6F43">
        <w:t>T</w:t>
      </w:r>
      <w:r w:rsidRPr="005B54A7">
        <w:t xml:space="preserve">rends data allows a narrative, visual understanding of the searches performed by specified populations in relation to Post COVID or Long COVID syndromes. </w:t>
      </w:r>
      <w:r>
        <w:t xml:space="preserve"> Important variations were noted between the use of the term “Post COVID” compared to “Long COVID”, variations across different UK regions and variations in searches internationally. The searches for Long COVID could be seen to coincide closely with variant peaks within the United Kingdom.   </w:t>
      </w:r>
    </w:p>
    <w:p w14:paraId="2E63FB77" w14:textId="4CB2D740" w:rsidR="005B54A7" w:rsidRDefault="005B54A7">
      <w:pPr>
        <w:rPr>
          <w:b/>
          <w:bCs/>
        </w:rPr>
      </w:pPr>
    </w:p>
    <w:p w14:paraId="03F895FC" w14:textId="3F1114E2" w:rsidR="005B54A7" w:rsidRPr="005D4062" w:rsidRDefault="00ED0FEF">
      <w:r>
        <w:rPr>
          <w:b/>
          <w:bCs/>
        </w:rPr>
        <w:t>Discussion</w:t>
      </w:r>
      <w:r w:rsidR="005B54A7">
        <w:rPr>
          <w:b/>
          <w:bCs/>
        </w:rPr>
        <w:t>:</w:t>
      </w:r>
      <w:r w:rsidR="005D4062">
        <w:rPr>
          <w:b/>
          <w:bCs/>
        </w:rPr>
        <w:t xml:space="preserve"> </w:t>
      </w:r>
      <w:r w:rsidR="005D4062" w:rsidRPr="005D4062">
        <w:t xml:space="preserve">Google </w:t>
      </w:r>
      <w:r w:rsidR="005C0FDB">
        <w:t>T</w:t>
      </w:r>
      <w:r w:rsidR="005D4062" w:rsidRPr="005D4062">
        <w:t xml:space="preserve">rends has been shown to be an important and useful resource for the broader understanding of a number of key areas within the pandemic including symptom onset and vaccine hesitancy. Here we present evidence </w:t>
      </w:r>
      <w:r w:rsidR="005D4062">
        <w:t>that the platform has utility for understanding longer term impacts of the pandemic, including in relation to Long COVID.</w:t>
      </w:r>
    </w:p>
    <w:p w14:paraId="0B8E37B7" w14:textId="104E3B60" w:rsidR="005B54A7" w:rsidRPr="005D4062" w:rsidRDefault="005B54A7"/>
    <w:p w14:paraId="736E68C0" w14:textId="77777777" w:rsidR="005B54A7" w:rsidRDefault="005B54A7">
      <w:pPr>
        <w:rPr>
          <w:b/>
          <w:bCs/>
        </w:rPr>
        <w:sectPr w:rsidR="005B54A7" w:rsidSect="00AF5E65">
          <w:pgSz w:w="11900" w:h="16840"/>
          <w:pgMar w:top="1440" w:right="1440" w:bottom="1440" w:left="1440" w:header="720" w:footer="720" w:gutter="0"/>
          <w:cols w:space="720"/>
          <w:docGrid w:linePitch="360"/>
        </w:sectPr>
      </w:pPr>
    </w:p>
    <w:p w14:paraId="24487A6A" w14:textId="0B8CF241" w:rsidR="005B54A7" w:rsidRDefault="005B54A7">
      <w:pPr>
        <w:rPr>
          <w:b/>
          <w:bCs/>
        </w:rPr>
      </w:pPr>
    </w:p>
    <w:p w14:paraId="272586CD" w14:textId="08EA9B0B" w:rsidR="00A34E8D" w:rsidRPr="005B54A7" w:rsidRDefault="00A34E8D">
      <w:pPr>
        <w:rPr>
          <w:b/>
          <w:bCs/>
        </w:rPr>
      </w:pPr>
      <w:r w:rsidRPr="005B54A7">
        <w:rPr>
          <w:b/>
          <w:bCs/>
        </w:rPr>
        <w:t>Background</w:t>
      </w:r>
    </w:p>
    <w:p w14:paraId="3014F1D6" w14:textId="77777777" w:rsidR="00A34E8D" w:rsidRDefault="00A34E8D"/>
    <w:p w14:paraId="3EE5C213" w14:textId="7EE9AC7C" w:rsidR="00A34E8D" w:rsidRDefault="00A34E8D" w:rsidP="00ED0FEF">
      <w:pPr>
        <w:spacing w:line="360" w:lineRule="auto"/>
      </w:pPr>
      <w:r>
        <w:t>Persisting symptoms at 12 weeks following confirmed or suspected SARS-CoV-2 infection occur in an estimated 2 to 38% of the population</w:t>
      </w:r>
      <w:r w:rsidR="00ED0FEF">
        <w:t xml:space="preserve"> (Sudre, 2021; Whittaker, 2021)</w:t>
      </w:r>
      <w:r>
        <w:t>, although the incidence of significantly debilitating symptoms is likely to be much lower</w:t>
      </w:r>
      <w:r w:rsidR="00ED0FEF">
        <w:t xml:space="preserve"> (Thompson, 2021)</w:t>
      </w:r>
      <w:r>
        <w:t>. The term Long-COVID is widely used to describe the persistence of symptoms following initial infection with Post-COVID syndrome defined by NICE as the persistence of symptoms beyond 12 weeks</w:t>
      </w:r>
      <w:r w:rsidR="00ED0FEF">
        <w:t xml:space="preserve"> (Shah, 2021)</w:t>
      </w:r>
      <w:r>
        <w:t xml:space="preserve">. </w:t>
      </w:r>
    </w:p>
    <w:p w14:paraId="7E6D2A83" w14:textId="3391750C" w:rsidR="0027031D" w:rsidRDefault="00A34E8D" w:rsidP="00ED0FEF">
      <w:pPr>
        <w:spacing w:line="360" w:lineRule="auto"/>
      </w:pPr>
      <w:r>
        <w:t xml:space="preserve">  </w:t>
      </w:r>
    </w:p>
    <w:p w14:paraId="3D0BEC07" w14:textId="0198BA5F" w:rsidR="0027031D" w:rsidRDefault="00FC4381" w:rsidP="00ED0FEF">
      <w:pPr>
        <w:spacing w:line="360" w:lineRule="auto"/>
      </w:pPr>
      <w:r>
        <w:t xml:space="preserve">The establishment of </w:t>
      </w:r>
      <w:r w:rsidR="0027031D">
        <w:t xml:space="preserve">Long COVID support </w:t>
      </w:r>
      <w:r>
        <w:t xml:space="preserve">services as part of NHS England and Ireland’s </w:t>
      </w:r>
      <w:r w:rsidR="00214C91">
        <w:t xml:space="preserve">2020 </w:t>
      </w:r>
      <w:r>
        <w:t>5-point</w:t>
      </w:r>
      <w:r w:rsidR="00214C91">
        <w:t xml:space="preserve"> Long COVID services</w:t>
      </w:r>
      <w:r>
        <w:t xml:space="preserve"> plan </w:t>
      </w:r>
      <w:r w:rsidR="00214C91">
        <w:t>has required strategic plan</w:t>
      </w:r>
      <w:r w:rsidR="00E221E6">
        <w:t>ning</w:t>
      </w:r>
      <w:r w:rsidR="00214C91">
        <w:t xml:space="preserve"> to utilise </w:t>
      </w:r>
      <w:r w:rsidR="00B02782">
        <w:t>primary and secondary care resources</w:t>
      </w:r>
      <w:r w:rsidR="00ED0FEF">
        <w:t xml:space="preserve"> (Kondratiuk, 2021)</w:t>
      </w:r>
      <w:r w:rsidR="00B02782">
        <w:t xml:space="preserve">. </w:t>
      </w:r>
    </w:p>
    <w:p w14:paraId="708D026C" w14:textId="77777777" w:rsidR="00A34E8D" w:rsidRDefault="00A34E8D" w:rsidP="00ED0FEF">
      <w:pPr>
        <w:spacing w:line="360" w:lineRule="auto"/>
      </w:pPr>
    </w:p>
    <w:p w14:paraId="71283E61" w14:textId="595D699E" w:rsidR="00A34E8D" w:rsidRDefault="00A34E8D" w:rsidP="00ED0FEF">
      <w:pPr>
        <w:spacing w:line="360" w:lineRule="auto"/>
      </w:pPr>
      <w:r>
        <w:t>Google</w:t>
      </w:r>
      <w:r w:rsidR="00B02782">
        <w:t>, which holds the majority market share as an internet search engine, employs its</w:t>
      </w:r>
      <w:r>
        <w:t xml:space="preserve"> Trends</w:t>
      </w:r>
      <w:r w:rsidR="00385FF8">
        <w:t xml:space="preserve"> tool to </w:t>
      </w:r>
      <w:r>
        <w:t>show the relative frequency of search terms in a sample of total searches over a period of time. Whilst relatively simplistic, analysis of such search data serves as a powerful tool to reflect population interest in real time, with the ability to detect the real-time global activity of diseases</w:t>
      </w:r>
      <w:r w:rsidR="00ED0FEF">
        <w:t xml:space="preserve"> (Ginsbery, 2009)</w:t>
      </w:r>
      <w:r>
        <w:t xml:space="preserve">.   </w:t>
      </w:r>
    </w:p>
    <w:p w14:paraId="4AB02805" w14:textId="247253C2" w:rsidR="00A34E8D" w:rsidRDefault="00A34E8D" w:rsidP="00ED0FEF">
      <w:pPr>
        <w:spacing w:line="360" w:lineRule="auto"/>
      </w:pPr>
      <w:r>
        <w:t xml:space="preserve"> </w:t>
      </w:r>
    </w:p>
    <w:p w14:paraId="729217DF" w14:textId="4B27F7D6" w:rsidR="00A34E8D" w:rsidRDefault="00A34E8D" w:rsidP="00ED0FEF">
      <w:pPr>
        <w:spacing w:line="360" w:lineRule="auto"/>
      </w:pPr>
      <w:r>
        <w:t>Over 200 published manuscripts have used Google Trends data as part of their methodology, largely to explore the effects of the pandemic on aspects of health and social care</w:t>
      </w:r>
      <w:r w:rsidR="00ED0FEF">
        <w:t xml:space="preserve"> (Walker, 2020; Rovetta, 2021)</w:t>
      </w:r>
      <w:r>
        <w:t>. Relating directly to SARS-CoV-2 infection itself, Google Trends data has been used to determine whether population incidence of infection can be predicted by search terms. Further areas including vaccination programmes and side-effects have also been explored</w:t>
      </w:r>
      <w:r w:rsidR="00ED0FEF">
        <w:t xml:space="preserve"> (Pullan, 2021)</w:t>
      </w:r>
      <w:r>
        <w:t xml:space="preserve">.  </w:t>
      </w:r>
    </w:p>
    <w:p w14:paraId="6C01D29E" w14:textId="1CF9F9A0" w:rsidR="00A34E8D" w:rsidRDefault="00A34E8D" w:rsidP="00ED0FEF">
      <w:pPr>
        <w:spacing w:line="360" w:lineRule="auto"/>
      </w:pPr>
    </w:p>
    <w:p w14:paraId="57384117" w14:textId="36EE7538" w:rsidR="00A34E8D" w:rsidRDefault="00A34E8D" w:rsidP="00ED0FEF">
      <w:pPr>
        <w:spacing w:line="360" w:lineRule="auto"/>
      </w:pPr>
      <w:r>
        <w:t xml:space="preserve">However to date, Google </w:t>
      </w:r>
      <w:r w:rsidR="00840A37">
        <w:t>T</w:t>
      </w:r>
      <w:r>
        <w:t>rends data have not been explored as a source of information with respect to Long</w:t>
      </w:r>
      <w:r w:rsidR="00840A37">
        <w:t>-</w:t>
      </w:r>
      <w:r>
        <w:t>COVID. We explored how Google Trends can be used as a real time source of information in order to direct national strategy with regards to Long-COVID.</w:t>
      </w:r>
      <w:r w:rsidR="00ED0FEF">
        <w:t xml:space="preserve"> Google Trends is likely to provide a good source of evidence relating to the COVID pandemic based on its large market share of all searches globally shown below in Figure 1.</w:t>
      </w:r>
    </w:p>
    <w:p w14:paraId="1A884C2E" w14:textId="79DF426B" w:rsidR="00ED0FEF" w:rsidRDefault="00ED0FEF" w:rsidP="00ED0FEF">
      <w:pPr>
        <w:spacing w:line="360" w:lineRule="auto"/>
      </w:pPr>
    </w:p>
    <w:p w14:paraId="05040E8B" w14:textId="07AE8DCB" w:rsidR="00ED0FEF" w:rsidRDefault="00ED0FEF" w:rsidP="00ED0FEF">
      <w:pPr>
        <w:spacing w:line="360" w:lineRule="auto"/>
      </w:pPr>
    </w:p>
    <w:p w14:paraId="78200E2A" w14:textId="77777777" w:rsidR="00ED0FEF" w:rsidRDefault="00ED0FEF" w:rsidP="00ED0FEF">
      <w:pPr>
        <w:keepNext/>
        <w:spacing w:line="360" w:lineRule="auto"/>
      </w:pPr>
      <w:r w:rsidRPr="005D4062">
        <w:rPr>
          <w:noProof/>
          <w:shd w:val="clear" w:color="auto" w:fill="000000" w:themeFill="text1"/>
        </w:rPr>
        <w:lastRenderedPageBreak/>
        <w:drawing>
          <wp:inline distT="0" distB="0" distL="0" distR="0" wp14:anchorId="2C79C53A" wp14:editId="56901C48">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E824710" w14:textId="4675935C" w:rsidR="00ED0FEF" w:rsidRPr="00ED0FEF" w:rsidRDefault="00ED0FEF" w:rsidP="00ED0FEF">
      <w:pPr>
        <w:pStyle w:val="Caption"/>
        <w:rPr>
          <w:color w:val="auto"/>
        </w:rPr>
      </w:pPr>
      <w:r w:rsidRPr="00ED0FEF">
        <w:rPr>
          <w:color w:val="auto"/>
        </w:rPr>
        <w:t xml:space="preserve">Figure </w:t>
      </w:r>
      <w:r w:rsidRPr="00ED0FEF">
        <w:rPr>
          <w:color w:val="auto"/>
        </w:rPr>
        <w:fldChar w:fldCharType="begin"/>
      </w:r>
      <w:r w:rsidRPr="00ED0FEF">
        <w:rPr>
          <w:color w:val="auto"/>
        </w:rPr>
        <w:instrText xml:space="preserve"> SEQ Figure \* ARABIC </w:instrText>
      </w:r>
      <w:r w:rsidRPr="00ED0FEF">
        <w:rPr>
          <w:color w:val="auto"/>
        </w:rPr>
        <w:fldChar w:fldCharType="separate"/>
      </w:r>
      <w:r w:rsidR="001D253C">
        <w:rPr>
          <w:noProof/>
          <w:color w:val="auto"/>
        </w:rPr>
        <w:t>1</w:t>
      </w:r>
      <w:r w:rsidRPr="00ED0FEF">
        <w:rPr>
          <w:color w:val="auto"/>
        </w:rPr>
        <w:fldChar w:fldCharType="end"/>
      </w:r>
      <w:r w:rsidRPr="00ED0FEF">
        <w:rPr>
          <w:color w:val="auto"/>
        </w:rPr>
        <w:t>: Search Engine Market share (gs.stat.counter)</w:t>
      </w:r>
    </w:p>
    <w:p w14:paraId="5D39574B" w14:textId="7A576A0E" w:rsidR="00A34E8D" w:rsidRDefault="00A34E8D">
      <w:r>
        <w:br w:type="page"/>
      </w:r>
    </w:p>
    <w:p w14:paraId="068C8CAE" w14:textId="77777777" w:rsidR="00ED0FEF" w:rsidRDefault="00ED0FEF"/>
    <w:p w14:paraId="7030B674" w14:textId="3278482C" w:rsidR="00A34E8D" w:rsidRPr="00ED0FEF" w:rsidRDefault="00A34E8D">
      <w:pPr>
        <w:rPr>
          <w:b/>
          <w:bCs/>
        </w:rPr>
      </w:pPr>
      <w:r w:rsidRPr="00ED0FEF">
        <w:rPr>
          <w:b/>
          <w:bCs/>
        </w:rPr>
        <w:t>Methods</w:t>
      </w:r>
    </w:p>
    <w:p w14:paraId="06AD1DBA" w14:textId="77777777" w:rsidR="00712EC9" w:rsidRDefault="00712EC9"/>
    <w:p w14:paraId="55BF9CA0" w14:textId="77777777" w:rsidR="00ED0FEF" w:rsidRDefault="00ED0FEF" w:rsidP="00ED0FEF">
      <w:pPr>
        <w:spacing w:line="360" w:lineRule="auto"/>
        <w:jc w:val="both"/>
        <w:rPr>
          <w:rFonts w:asciiTheme="minorHAnsi" w:hAnsiTheme="minorHAnsi" w:cstheme="minorHAnsi"/>
        </w:rPr>
      </w:pPr>
    </w:p>
    <w:p w14:paraId="10F309B9" w14:textId="4D126528" w:rsidR="00ED0FEF" w:rsidRPr="009A55E6" w:rsidRDefault="00ED0FEF" w:rsidP="00ED0FEF">
      <w:pPr>
        <w:spacing w:line="360" w:lineRule="auto"/>
        <w:jc w:val="both"/>
      </w:pPr>
      <w:r w:rsidRPr="009A55E6">
        <w:t xml:space="preserve">Google Trends determines the proportion of searches for user-specified terms among all searches performed using Google. This is used to generate a relative search volume (RSV), which represents the share of a particular term for a given location and time period, normalised by the highest share of that term over the time series. The highest share is set at 100 with other data points presented on a scale from 0 to 100, relative to the highest share.  </w:t>
      </w:r>
    </w:p>
    <w:p w14:paraId="56C8C490" w14:textId="77777777" w:rsidR="00ED0FEF" w:rsidRPr="009A55E6" w:rsidRDefault="00ED0FEF" w:rsidP="00ED0FEF">
      <w:pPr>
        <w:spacing w:line="360" w:lineRule="auto"/>
        <w:jc w:val="both"/>
      </w:pPr>
    </w:p>
    <w:p w14:paraId="6F29B7A7" w14:textId="66AB5884" w:rsidR="00ED0FEF" w:rsidRPr="009A55E6" w:rsidRDefault="00ED0FEF" w:rsidP="00ED0FEF">
      <w:pPr>
        <w:spacing w:line="360" w:lineRule="auto"/>
        <w:jc w:val="both"/>
      </w:pPr>
      <w:r w:rsidRPr="009A55E6">
        <w:t>We examined Long</w:t>
      </w:r>
      <w:r w:rsidR="00571B46">
        <w:t>-</w:t>
      </w:r>
      <w:r w:rsidRPr="009A55E6">
        <w:t>COVID search terms from January 2020, to include the time of the first lockdown in the UK (March 2020) to July 2022.</w:t>
      </w:r>
    </w:p>
    <w:p w14:paraId="2E777EBA" w14:textId="77777777" w:rsidR="00ED0FEF" w:rsidRPr="009A55E6" w:rsidRDefault="00ED0FEF" w:rsidP="00ED0FEF">
      <w:pPr>
        <w:spacing w:line="360" w:lineRule="auto"/>
        <w:jc w:val="both"/>
      </w:pPr>
    </w:p>
    <w:p w14:paraId="39455F31" w14:textId="4BD6ECFC" w:rsidR="00ED0FEF" w:rsidRPr="009A55E6" w:rsidRDefault="00ED0FEF" w:rsidP="00ED0FEF">
      <w:pPr>
        <w:spacing w:line="360" w:lineRule="auto"/>
        <w:jc w:val="both"/>
      </w:pPr>
      <w:r w:rsidRPr="009A55E6">
        <w:t xml:space="preserve">An international comparison of </w:t>
      </w:r>
      <w:r w:rsidR="00571B46">
        <w:t>L</w:t>
      </w:r>
      <w:r w:rsidRPr="009A55E6">
        <w:t>ong</w:t>
      </w:r>
      <w:r w:rsidR="00571B46">
        <w:t>-COVID</w:t>
      </w:r>
      <w:r w:rsidRPr="009A55E6">
        <w:t xml:space="preserve"> searches in different countries was conducted. Additional search terms included “fatigue”, “brain fog”, “anosmia</w:t>
      </w:r>
      <w:r w:rsidR="00571B46">
        <w:t>,</w:t>
      </w:r>
      <w:r w:rsidRPr="009A55E6">
        <w:t xml:space="preserve">” “shortness of breath,” “dyspnoea,” “post COVID” were collected for the UK population. Google Trends data were accessed in August 2022. Google </w:t>
      </w:r>
      <w:r w:rsidR="00571B46">
        <w:t>T</w:t>
      </w:r>
      <w:r w:rsidRPr="009A55E6">
        <w:t>rends data was matched to data regarding infections and variants, in the United Kingdom, as reported by the Office for National Statistics.</w:t>
      </w:r>
    </w:p>
    <w:p w14:paraId="3561A86D" w14:textId="77777777" w:rsidR="00ED0FEF" w:rsidRPr="009A55E6" w:rsidRDefault="00ED0FEF" w:rsidP="00ED0FEF">
      <w:pPr>
        <w:spacing w:line="360" w:lineRule="auto"/>
        <w:jc w:val="both"/>
      </w:pPr>
    </w:p>
    <w:p w14:paraId="7E873E54" w14:textId="6EC28D4B" w:rsidR="00ED0FEF" w:rsidRPr="009A55E6" w:rsidRDefault="00ED0FEF" w:rsidP="00ED0FEF">
      <w:pPr>
        <w:spacing w:line="360" w:lineRule="auto"/>
        <w:jc w:val="both"/>
      </w:pPr>
      <w:r w:rsidRPr="009A55E6">
        <w:t xml:space="preserve">This research uses publicly available, </w:t>
      </w:r>
      <w:r w:rsidR="001D253C" w:rsidRPr="009A55E6">
        <w:t>anonymised</w:t>
      </w:r>
      <w:r w:rsidRPr="009A55E6">
        <w:t xml:space="preserve">, aggregated, free to access data. Therefore, no research ethics approval was required. </w:t>
      </w:r>
    </w:p>
    <w:p w14:paraId="2B2A78C9" w14:textId="796D375B" w:rsidR="00877E97" w:rsidRPr="009A55E6" w:rsidRDefault="00877E97" w:rsidP="00ED0FEF">
      <w:pPr>
        <w:spacing w:line="360" w:lineRule="auto"/>
      </w:pPr>
      <w:r w:rsidRPr="009A55E6">
        <w:br w:type="page"/>
      </w:r>
    </w:p>
    <w:p w14:paraId="6DF19A36" w14:textId="68B60911" w:rsidR="00ED0FEF" w:rsidRDefault="00ED0FEF"/>
    <w:p w14:paraId="2A86D055" w14:textId="77777777" w:rsidR="00ED0FEF" w:rsidRPr="00877E97" w:rsidRDefault="00ED0FEF"/>
    <w:p w14:paraId="09CDAD26" w14:textId="0EF564F2" w:rsidR="00A34E8D" w:rsidRDefault="00A34E8D">
      <w:pPr>
        <w:rPr>
          <w:b/>
          <w:bCs/>
        </w:rPr>
      </w:pPr>
      <w:r w:rsidRPr="005D4062">
        <w:rPr>
          <w:b/>
          <w:bCs/>
        </w:rPr>
        <w:t>Results</w:t>
      </w:r>
    </w:p>
    <w:p w14:paraId="772E483D" w14:textId="4596526E" w:rsidR="005D4062" w:rsidRDefault="005D4062">
      <w:pPr>
        <w:rPr>
          <w:b/>
          <w:bCs/>
        </w:rPr>
      </w:pPr>
    </w:p>
    <w:p w14:paraId="1278853B" w14:textId="0C931CCB" w:rsidR="005D4062" w:rsidRDefault="005D4062" w:rsidP="005D4062">
      <w:pPr>
        <w:spacing w:line="360" w:lineRule="auto"/>
        <w:rPr>
          <w:noProof/>
        </w:rPr>
      </w:pPr>
      <w:r>
        <w:t>The clinical literature uses both the terms “Post COVID” and “Long COVID”, with post COIVD the more commonly defined term within service specifications (Parkin, 2021). The Google Trends data however clearly demonstrates that the term “post covid” was only initially the most publicly used search term during the early stages of the pandemic. The concept of “Long COVID” rose rapidly in October 202</w:t>
      </w:r>
      <w:r w:rsidR="00B93348">
        <w:t>0</w:t>
      </w:r>
      <w:r>
        <w:t xml:space="preserve"> and has remained the predominant search term since (Figure 2).</w:t>
      </w:r>
      <w:r w:rsidRPr="005D4062">
        <w:rPr>
          <w:noProof/>
        </w:rPr>
        <w:t xml:space="preserve"> </w:t>
      </w:r>
    </w:p>
    <w:p w14:paraId="58F47AF7" w14:textId="77777777" w:rsidR="005D4062" w:rsidRDefault="005D4062" w:rsidP="005D4062">
      <w:pPr>
        <w:spacing w:line="360" w:lineRule="auto"/>
        <w:rPr>
          <w:noProof/>
        </w:rPr>
      </w:pPr>
    </w:p>
    <w:p w14:paraId="3EFFA69E" w14:textId="77777777" w:rsidR="005D4062" w:rsidRDefault="005D4062" w:rsidP="005D4062">
      <w:pPr>
        <w:spacing w:line="360" w:lineRule="auto"/>
        <w:rPr>
          <w:noProof/>
        </w:rPr>
      </w:pPr>
    </w:p>
    <w:p w14:paraId="7A97823D" w14:textId="77777777" w:rsidR="005D4062" w:rsidRDefault="005D4062" w:rsidP="005D4062">
      <w:pPr>
        <w:keepNext/>
        <w:spacing w:line="360" w:lineRule="auto"/>
      </w:pPr>
      <w:r w:rsidRPr="005D4062">
        <w:rPr>
          <w:noProof/>
        </w:rPr>
        <w:drawing>
          <wp:inline distT="0" distB="0" distL="0" distR="0" wp14:anchorId="7AFD7D2A" wp14:editId="787C425F">
            <wp:extent cx="5727700" cy="1710055"/>
            <wp:effectExtent l="0" t="0" r="6350" b="4445"/>
            <wp:docPr id="1026" name="Picture 2"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Graphical user interface, application, email&#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l="20069" t="35000" r="20972" b="32500"/>
                    <a:stretch/>
                  </pic:blipFill>
                  <pic:spPr bwMode="auto">
                    <a:xfrm>
                      <a:off x="0" y="0"/>
                      <a:ext cx="5727700" cy="1710055"/>
                    </a:xfrm>
                    <a:prstGeom prst="rect">
                      <a:avLst/>
                    </a:prstGeom>
                    <a:noFill/>
                    <a:ln>
                      <a:noFill/>
                    </a:ln>
                  </pic:spPr>
                </pic:pic>
              </a:graphicData>
            </a:graphic>
          </wp:inline>
        </w:drawing>
      </w:r>
    </w:p>
    <w:p w14:paraId="32E532FC" w14:textId="17A5A74C" w:rsidR="005D4062" w:rsidRPr="005D4062" w:rsidRDefault="005D4062" w:rsidP="005D4062">
      <w:pPr>
        <w:pStyle w:val="Caption"/>
        <w:rPr>
          <w:color w:val="auto"/>
        </w:rPr>
      </w:pPr>
      <w:r w:rsidRPr="005D4062">
        <w:rPr>
          <w:color w:val="auto"/>
        </w:rPr>
        <w:t xml:space="preserve">Figure </w:t>
      </w:r>
      <w:r w:rsidRPr="005D4062">
        <w:rPr>
          <w:color w:val="auto"/>
        </w:rPr>
        <w:fldChar w:fldCharType="begin"/>
      </w:r>
      <w:r w:rsidRPr="005D4062">
        <w:rPr>
          <w:color w:val="auto"/>
        </w:rPr>
        <w:instrText xml:space="preserve"> SEQ Figure \* ARABIC </w:instrText>
      </w:r>
      <w:r w:rsidRPr="005D4062">
        <w:rPr>
          <w:color w:val="auto"/>
        </w:rPr>
        <w:fldChar w:fldCharType="separate"/>
      </w:r>
      <w:r w:rsidR="001D253C">
        <w:rPr>
          <w:noProof/>
          <w:color w:val="auto"/>
        </w:rPr>
        <w:t>2</w:t>
      </w:r>
      <w:r w:rsidRPr="005D4062">
        <w:rPr>
          <w:color w:val="auto"/>
        </w:rPr>
        <w:fldChar w:fldCharType="end"/>
      </w:r>
      <w:r w:rsidRPr="005D4062">
        <w:rPr>
          <w:color w:val="auto"/>
        </w:rPr>
        <w:t>: Post COVID vs Long COVID search terms over time</w:t>
      </w:r>
    </w:p>
    <w:p w14:paraId="78FA55BE" w14:textId="162F69E4" w:rsidR="00877E97" w:rsidRDefault="00877E97"/>
    <w:p w14:paraId="33FDFFC9" w14:textId="60F5CA3A" w:rsidR="005D4062" w:rsidRDefault="005D4062" w:rsidP="001D253C">
      <w:pPr>
        <w:spacing w:line="360" w:lineRule="auto"/>
      </w:pPr>
      <w:r>
        <w:t xml:space="preserve">In addition to variation in language, the </w:t>
      </w:r>
      <w:r w:rsidR="001D253C">
        <w:t>Google Trends data shows considerable variation in Geography. Searches for Long COVID are most common in England with a similar number of searches in Wales (96% of the England search numbers) and Scotland (95% of the search numbers). The use of Long COVID as a search term was however substantially less common in Northern Ireland where it was only searched 82% as frequently as England (Figure 3).</w:t>
      </w:r>
    </w:p>
    <w:p w14:paraId="505BECD5" w14:textId="39A07E76" w:rsidR="001D253C" w:rsidRDefault="001D253C" w:rsidP="001D253C">
      <w:pPr>
        <w:spacing w:line="360" w:lineRule="auto"/>
      </w:pPr>
      <w:r>
        <w:rPr>
          <w:noProof/>
        </w:rPr>
        <mc:AlternateContent>
          <mc:Choice Requires="wps">
            <w:drawing>
              <wp:anchor distT="0" distB="0" distL="114300" distR="114300" simplePos="0" relativeHeight="251660288" behindDoc="1" locked="0" layoutInCell="1" allowOverlap="1" wp14:anchorId="5D2057FF" wp14:editId="0667B53A">
                <wp:simplePos x="0" y="0"/>
                <wp:positionH relativeFrom="column">
                  <wp:posOffset>0</wp:posOffset>
                </wp:positionH>
                <wp:positionV relativeFrom="paragraph">
                  <wp:posOffset>2030095</wp:posOffset>
                </wp:positionV>
                <wp:extent cx="5727700" cy="635"/>
                <wp:effectExtent l="0" t="0" r="0" b="0"/>
                <wp:wrapTight wrapText="bothSides">
                  <wp:wrapPolygon edited="0">
                    <wp:start x="0" y="0"/>
                    <wp:lineTo x="0" y="21600"/>
                    <wp:lineTo x="21600" y="21600"/>
                    <wp:lineTo x="21600" y="0"/>
                  </wp:wrapPolygon>
                </wp:wrapTight>
                <wp:docPr id="2" name="Text Box 2"/>
                <wp:cNvGraphicFramePr/>
                <a:graphic xmlns:a="http://schemas.openxmlformats.org/drawingml/2006/main">
                  <a:graphicData uri="http://schemas.microsoft.com/office/word/2010/wordprocessingShape">
                    <wps:wsp>
                      <wps:cNvSpPr txBox="1"/>
                      <wps:spPr>
                        <a:xfrm>
                          <a:off x="0" y="0"/>
                          <a:ext cx="5727700" cy="635"/>
                        </a:xfrm>
                        <a:prstGeom prst="rect">
                          <a:avLst/>
                        </a:prstGeom>
                        <a:solidFill>
                          <a:prstClr val="white"/>
                        </a:solidFill>
                        <a:ln>
                          <a:noFill/>
                        </a:ln>
                      </wps:spPr>
                      <wps:txbx>
                        <w:txbxContent>
                          <w:p w14:paraId="65D6A3C1" w14:textId="4ED4D96F" w:rsidR="001D253C" w:rsidRPr="001D253C" w:rsidRDefault="001D253C" w:rsidP="001D253C">
                            <w:pPr>
                              <w:pStyle w:val="Caption"/>
                              <w:rPr>
                                <w:rFonts w:ascii="Times New Roman" w:eastAsia="Times New Roman" w:hAnsi="Times New Roman" w:cs="Times New Roman"/>
                                <w:color w:val="auto"/>
                                <w:sz w:val="24"/>
                                <w:szCs w:val="24"/>
                              </w:rPr>
                            </w:pPr>
                            <w:r w:rsidRPr="001D253C">
                              <w:rPr>
                                <w:color w:val="auto"/>
                              </w:rPr>
                              <w:t xml:space="preserve">Figure </w:t>
                            </w:r>
                            <w:r w:rsidRPr="001D253C">
                              <w:rPr>
                                <w:color w:val="auto"/>
                              </w:rPr>
                              <w:fldChar w:fldCharType="begin"/>
                            </w:r>
                            <w:r w:rsidRPr="001D253C">
                              <w:rPr>
                                <w:color w:val="auto"/>
                              </w:rPr>
                              <w:instrText xml:space="preserve"> SEQ Figure \* ARABIC </w:instrText>
                            </w:r>
                            <w:r w:rsidRPr="001D253C">
                              <w:rPr>
                                <w:color w:val="auto"/>
                              </w:rPr>
                              <w:fldChar w:fldCharType="separate"/>
                            </w:r>
                            <w:r>
                              <w:rPr>
                                <w:noProof/>
                                <w:color w:val="auto"/>
                              </w:rPr>
                              <w:t>3</w:t>
                            </w:r>
                            <w:r w:rsidRPr="001D253C">
                              <w:rPr>
                                <w:color w:val="auto"/>
                              </w:rPr>
                              <w:fldChar w:fldCharType="end"/>
                            </w:r>
                            <w:r w:rsidRPr="001D253C">
                              <w:rPr>
                                <w:color w:val="auto"/>
                              </w:rPr>
                              <w:t>: Variation in "</w:t>
                            </w:r>
                            <w:r w:rsidR="008C5D20">
                              <w:rPr>
                                <w:color w:val="auto"/>
                              </w:rPr>
                              <w:t>L</w:t>
                            </w:r>
                            <w:r w:rsidRPr="001D253C">
                              <w:rPr>
                                <w:color w:val="auto"/>
                              </w:rPr>
                              <w:t>ong COVID" search terms by region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D2057FF" id="_x0000_t202" coordsize="21600,21600" o:spt="202" path="m,l,21600r21600,l21600,xe">
                <v:stroke joinstyle="miter"/>
                <v:path gradientshapeok="t" o:connecttype="rect"/>
              </v:shapetype>
              <v:shape id="Text Box 2" o:spid="_x0000_s1026" type="#_x0000_t202" style="position:absolute;margin-left:0;margin-top:159.85pt;width:451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" stroked="f">
                <v:textbox style="mso-fit-shape-to-text:t" inset="0,0,0,0">
                  <w:txbxContent>
                    <w:p w14:paraId="65D6A3C1" w14:textId="4ED4D96F" w:rsidR="001D253C" w:rsidRPr="001D253C" w:rsidRDefault="001D253C" w:rsidP="001D253C">
                      <w:pPr>
                        <w:pStyle w:val="Caption"/>
                        <w:rPr>
                          <w:rFonts w:ascii="Times New Roman" w:eastAsia="Times New Roman" w:hAnsi="Times New Roman" w:cs="Times New Roman"/>
                          <w:color w:val="auto"/>
                          <w:sz w:val="24"/>
                          <w:szCs w:val="24"/>
                        </w:rPr>
                      </w:pPr>
                      <w:r w:rsidRPr="001D253C">
                        <w:rPr>
                          <w:color w:val="auto"/>
                        </w:rPr>
                        <w:t xml:space="preserve">Figure </w:t>
                      </w:r>
                      <w:r w:rsidRPr="001D253C">
                        <w:rPr>
                          <w:color w:val="auto"/>
                        </w:rPr>
                        <w:fldChar w:fldCharType="begin"/>
                      </w:r>
                      <w:r w:rsidRPr="001D253C">
                        <w:rPr>
                          <w:color w:val="auto"/>
                        </w:rPr>
                        <w:instrText xml:space="preserve"> SEQ Figure \* ARABIC </w:instrText>
                      </w:r>
                      <w:r w:rsidRPr="001D253C">
                        <w:rPr>
                          <w:color w:val="auto"/>
                        </w:rPr>
                        <w:fldChar w:fldCharType="separate"/>
                      </w:r>
                      <w:r>
                        <w:rPr>
                          <w:noProof/>
                          <w:color w:val="auto"/>
                        </w:rPr>
                        <w:t>3</w:t>
                      </w:r>
                      <w:r w:rsidRPr="001D253C">
                        <w:rPr>
                          <w:color w:val="auto"/>
                        </w:rPr>
                        <w:fldChar w:fldCharType="end"/>
                      </w:r>
                      <w:r w:rsidRPr="001D253C">
                        <w:rPr>
                          <w:color w:val="auto"/>
                        </w:rPr>
                        <w:t>: Variation in "</w:t>
                      </w:r>
                      <w:r w:rsidR="008C5D20">
                        <w:rPr>
                          <w:color w:val="auto"/>
                        </w:rPr>
                        <w:t>L</w:t>
                      </w:r>
                      <w:r w:rsidRPr="001D253C">
                        <w:rPr>
                          <w:color w:val="auto"/>
                        </w:rPr>
                        <w:t>ong COVID" search terms by region</w:t>
                      </w:r>
                    </w:p>
                  </w:txbxContent>
                </v:textbox>
                <w10:wrap type="tight"/>
              </v:shape>
            </w:pict>
          </mc:Fallback>
        </mc:AlternateContent>
      </w:r>
      <w:r w:rsidRPr="001D253C">
        <w:rPr>
          <w:noProof/>
        </w:rPr>
        <w:drawing>
          <wp:anchor distT="0" distB="0" distL="114300" distR="114300" simplePos="0" relativeHeight="251658240" behindDoc="1" locked="0" layoutInCell="1" allowOverlap="1" wp14:anchorId="1B995633" wp14:editId="4D7E194B">
            <wp:simplePos x="0" y="0"/>
            <wp:positionH relativeFrom="column">
              <wp:posOffset>0</wp:posOffset>
            </wp:positionH>
            <wp:positionV relativeFrom="paragraph">
              <wp:posOffset>209105</wp:posOffset>
            </wp:positionV>
            <wp:extent cx="5727700" cy="1764030"/>
            <wp:effectExtent l="0" t="0" r="6350" b="7620"/>
            <wp:wrapTight wrapText="bothSides">
              <wp:wrapPolygon edited="0">
                <wp:start x="0" y="0"/>
                <wp:lineTo x="0" y="21460"/>
                <wp:lineTo x="21552" y="21460"/>
                <wp:lineTo x="21552" y="0"/>
                <wp:lineTo x="0" y="0"/>
              </wp:wrapPolygon>
            </wp:wrapTight>
            <wp:docPr id="2050" name="Picture 2" descr="Graphical user interface,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Graphical user interface, application, email&#10;&#10;Description automatically generated"/>
                    <pic:cNvPicPr>
                      <a:picLocks noChangeAspect="1" noChangeArrowheads="1"/>
                    </pic:cNvPicPr>
                  </pic:nvPicPr>
                  <pic:blipFill rotWithShape="1">
                    <a:blip r:embed="rId19">
                      <a:extLst>
                        <a:ext uri="{28A0092B-C50C-407E-A947-70E740481C1C}">
                          <a14:useLocalDpi xmlns:a14="http://schemas.microsoft.com/office/drawing/2010/main" val="0"/>
                        </a:ext>
                      </a:extLst>
                    </a:blip>
                    <a:srcRect l="19861" t="32564" r="20833" b="33718"/>
                    <a:stretch/>
                  </pic:blipFill>
                  <pic:spPr bwMode="auto">
                    <a:xfrm>
                      <a:off x="0" y="0"/>
                      <a:ext cx="5727700" cy="1764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3786D" w14:textId="65DDE793" w:rsidR="001D253C" w:rsidRDefault="001D253C" w:rsidP="001D253C">
      <w:pPr>
        <w:spacing w:line="360" w:lineRule="auto"/>
        <w:jc w:val="both"/>
      </w:pPr>
      <w:r>
        <w:lastRenderedPageBreak/>
        <w:t>Google Trends allows searching of “entities” which are concepts consistent across any language. “Long COVID” is offered by Google Trends as a “condition” entity, allowing a comparison internationally of the search term. Figure 4 below demonstrates that during the first study period (March 2020 to July 2022) the UK far exceeded all other countries in terms of Long COVID condition searches. Figure 5 represents an update to this paper highlighting the prevalence of these searches as of February 2023 demonstrates a very different picture with New Zealand, Germany and The Netherlands presented as the countries most commonly searching for Long COVID information.</w:t>
      </w:r>
    </w:p>
    <w:p w14:paraId="11D8E4C8" w14:textId="60C31B83" w:rsidR="001D253C" w:rsidRDefault="001D253C" w:rsidP="001D253C">
      <w:pPr>
        <w:spacing w:line="360" w:lineRule="auto"/>
        <w:jc w:val="both"/>
      </w:pPr>
    </w:p>
    <w:p w14:paraId="38035C1D" w14:textId="13C4886A" w:rsidR="000107DA" w:rsidRDefault="000107DA" w:rsidP="001D253C">
      <w:pPr>
        <w:spacing w:line="360" w:lineRule="auto"/>
        <w:jc w:val="both"/>
      </w:pPr>
      <w:r>
        <w:rPr>
          <w:noProof/>
        </w:rPr>
        <w:drawing>
          <wp:inline distT="0" distB="0" distL="0" distR="0" wp14:anchorId="75B1F763" wp14:editId="476C8999">
            <wp:extent cx="4572000" cy="5810250"/>
            <wp:effectExtent l="0" t="0" r="0" b="0"/>
            <wp:docPr id="7" name="Chart 7">
              <a:extLst xmlns:a="http://schemas.openxmlformats.org/drawingml/2006/main">
                <a:ext uri="{FF2B5EF4-FFF2-40B4-BE49-F238E27FC236}">
                  <a16:creationId xmlns:a16="http://schemas.microsoft.com/office/drawing/2014/main" id="{D88CEFFC-9E89-23B5-729F-9FBFD8F66C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2C72B11" w14:textId="3DCC017E" w:rsidR="001D253C" w:rsidRDefault="001D253C" w:rsidP="001D253C">
      <w:pPr>
        <w:spacing w:line="360" w:lineRule="auto"/>
        <w:jc w:val="both"/>
      </w:pPr>
    </w:p>
    <w:p w14:paraId="1D858A4B" w14:textId="52337359" w:rsidR="001D253C" w:rsidRDefault="001D253C" w:rsidP="001D253C">
      <w:pPr>
        <w:keepNext/>
        <w:spacing w:line="360" w:lineRule="auto"/>
        <w:jc w:val="both"/>
      </w:pPr>
    </w:p>
    <w:p w14:paraId="56622234" w14:textId="01B751A2" w:rsidR="001D253C" w:rsidRDefault="001D253C" w:rsidP="001D253C">
      <w:pPr>
        <w:pStyle w:val="Caption"/>
        <w:jc w:val="both"/>
      </w:pPr>
      <w:r>
        <w:t xml:space="preserve">Figure </w:t>
      </w:r>
      <w:fldSimple w:instr=" SEQ Figure \* ARABIC ">
        <w:r>
          <w:rPr>
            <w:noProof/>
          </w:rPr>
          <w:t>4</w:t>
        </w:r>
      </w:fldSimple>
      <w:r>
        <w:t>: International Search Terms by Long COVID Condition</w:t>
      </w:r>
    </w:p>
    <w:p w14:paraId="2C7A2AED" w14:textId="3A9DE629" w:rsidR="001D253C" w:rsidRDefault="001D253C" w:rsidP="001D253C">
      <w:pPr>
        <w:spacing w:line="360" w:lineRule="auto"/>
      </w:pPr>
    </w:p>
    <w:p w14:paraId="1AB1A08E" w14:textId="78690C72" w:rsidR="001D253C" w:rsidRDefault="001D253C" w:rsidP="001D253C">
      <w:pPr>
        <w:spacing w:line="360" w:lineRule="auto"/>
      </w:pPr>
      <w:r>
        <w:rPr>
          <w:noProof/>
        </w:rPr>
        <w:drawing>
          <wp:inline distT="0" distB="0" distL="0" distR="0" wp14:anchorId="710F7B21" wp14:editId="6DD007AB">
            <wp:extent cx="4572000" cy="7915275"/>
            <wp:effectExtent l="0" t="0" r="0" b="9525"/>
            <wp:docPr id="5" name="Chart 5">
              <a:extLst xmlns:a="http://schemas.openxmlformats.org/drawingml/2006/main">
                <a:ext uri="{FF2B5EF4-FFF2-40B4-BE49-F238E27FC236}">
                  <a16:creationId xmlns:a16="http://schemas.microsoft.com/office/drawing/2014/main" id="{7755F114-B4E4-631C-E881-DCBAE520B9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EFA4A41" w14:textId="29A23755" w:rsidR="005D4062" w:rsidRDefault="000107DA" w:rsidP="00A66234">
      <w:pPr>
        <w:spacing w:line="360" w:lineRule="auto"/>
      </w:pPr>
      <w:r>
        <w:lastRenderedPageBreak/>
        <w:t>When the presence of variants is compared to Long COVID searches, it is evident that spikes in the search for specific variants were accompanied also by a search for Long COVID as a long term complication (Figure 6)</w:t>
      </w:r>
      <w:r w:rsidR="006535B5">
        <w:t>.</w:t>
      </w:r>
    </w:p>
    <w:p w14:paraId="3740D936" w14:textId="4DD9AFE7" w:rsidR="000107DA" w:rsidRDefault="000107DA"/>
    <w:p w14:paraId="333E0F1B" w14:textId="1EE09F53" w:rsidR="000107DA" w:rsidRDefault="000107DA">
      <w:r w:rsidRPr="000107DA">
        <w:rPr>
          <w:noProof/>
        </w:rPr>
        <w:drawing>
          <wp:inline distT="0" distB="0" distL="0" distR="0" wp14:anchorId="0B067998" wp14:editId="5E4233DB">
            <wp:extent cx="5727700" cy="2912745"/>
            <wp:effectExtent l="0" t="0" r="6350" b="1905"/>
            <wp:docPr id="8" name="Chart 8">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A4D00A1" w14:textId="528B4C2F" w:rsidR="000107DA" w:rsidRDefault="000107DA"/>
    <w:p w14:paraId="44F67B98" w14:textId="3EF04BDD" w:rsidR="000107DA" w:rsidRDefault="000107DA"/>
    <w:p w14:paraId="3084B0F2" w14:textId="77777777" w:rsidR="000107DA" w:rsidRDefault="000107DA" w:rsidP="0026658D"/>
    <w:p w14:paraId="325F3267" w14:textId="77777777" w:rsidR="000107DA" w:rsidRDefault="000107DA" w:rsidP="0026658D">
      <w:pPr>
        <w:sectPr w:rsidR="000107DA" w:rsidSect="00AF5E65">
          <w:pgSz w:w="11900" w:h="16840"/>
          <w:pgMar w:top="1440" w:right="1440" w:bottom="1440" w:left="1440" w:header="720" w:footer="720" w:gutter="0"/>
          <w:cols w:space="720"/>
          <w:docGrid w:linePitch="360"/>
        </w:sectPr>
      </w:pPr>
    </w:p>
    <w:p w14:paraId="22DB08E5" w14:textId="77777777" w:rsidR="000107DA" w:rsidRDefault="000107DA" w:rsidP="0026658D"/>
    <w:p w14:paraId="00E22BBA" w14:textId="224E348D" w:rsidR="000107DA" w:rsidRDefault="000107DA" w:rsidP="0026658D">
      <w:pPr>
        <w:rPr>
          <w:b/>
          <w:bCs/>
        </w:rPr>
      </w:pPr>
      <w:r w:rsidRPr="000107DA">
        <w:rPr>
          <w:b/>
          <w:bCs/>
        </w:rPr>
        <w:t>Discussion</w:t>
      </w:r>
    </w:p>
    <w:p w14:paraId="2D42D9BE" w14:textId="78A823AA" w:rsidR="000107DA" w:rsidRDefault="000107DA" w:rsidP="000107DA">
      <w:pPr>
        <w:spacing w:line="360" w:lineRule="auto"/>
        <w:rPr>
          <w:b/>
          <w:bCs/>
        </w:rPr>
      </w:pPr>
    </w:p>
    <w:p w14:paraId="656D2233" w14:textId="4FB276F9" w:rsidR="000107DA" w:rsidRPr="000107DA" w:rsidRDefault="000107DA" w:rsidP="000107DA">
      <w:pPr>
        <w:spacing w:line="360" w:lineRule="auto"/>
        <w:jc w:val="both"/>
      </w:pPr>
      <w:r>
        <w:t xml:space="preserve">We present what we believe to be the first assessment of the utility of Google Trends on understanding data from Long COVID both in the UK and internationally. There is potentially useful learning around the preferred language of patients and service users. There is an increased focus on “language matters” in the NHS (Lloyd, 2018) and we may need to consider this dimension in the branding and roll-out of Long COVID services. </w:t>
      </w:r>
    </w:p>
    <w:p w14:paraId="510AB1A7" w14:textId="2A789402" w:rsidR="000107DA" w:rsidRDefault="000107DA" w:rsidP="000107DA">
      <w:pPr>
        <w:jc w:val="both"/>
      </w:pPr>
    </w:p>
    <w:p w14:paraId="6ED2E65E" w14:textId="5CF435E2" w:rsidR="000107DA" w:rsidRDefault="000107DA" w:rsidP="000107DA">
      <w:pPr>
        <w:spacing w:line="360" w:lineRule="auto"/>
        <w:jc w:val="both"/>
      </w:pPr>
      <w:r>
        <w:t>The appropriate descriptors and branding for services has wide implications for patients, organisations and services. The United Kingdom has been described as the “Long COVID capital” of the world (Glancy, 2021). Our data suggest</w:t>
      </w:r>
      <w:r w:rsidR="002A3041">
        <w:t xml:space="preserve">s </w:t>
      </w:r>
      <w:r>
        <w:t>that England in particular over Northern Ireland is a key area of focus when considering high levels of Long COVID searches. This is important as Long COVID is having a serious impact on the Labour market and the ability of the United Kingdom to respond to global economic challenges (Nafilyan, 2022). There may however be some reassurance for economists as more recently, there have been fewer searches for the United Kingdom relating to Long COVID in comparison to other countries internationally. It could be postulated that this may help the UK recover from particularly poor growth forecasts amongst developed nations.</w:t>
      </w:r>
    </w:p>
    <w:p w14:paraId="60144B95" w14:textId="05A474B0" w:rsidR="000107DA" w:rsidRDefault="000107DA" w:rsidP="000107DA">
      <w:pPr>
        <w:spacing w:line="360" w:lineRule="auto"/>
        <w:jc w:val="both"/>
      </w:pPr>
    </w:p>
    <w:p w14:paraId="111D4A73" w14:textId="60B2D48A" w:rsidR="000107DA" w:rsidRDefault="000107DA" w:rsidP="000107DA">
      <w:pPr>
        <w:spacing w:line="360" w:lineRule="auto"/>
        <w:jc w:val="both"/>
      </w:pPr>
      <w:r>
        <w:t>It is uncertain whether there will be future waves or variants of COVID-19, however the data suggesting an association between new variants and increased searches for Long COVID is important. There are a missing cohort of people suffering from Long COVID who have not been seen or referred to specialist services (NICE, 2022; Shabnam, 2022). It may be that future targeted campaigns to find these missing patients might best be supported around the times of new variants arising and being prevalent within the population.</w:t>
      </w:r>
    </w:p>
    <w:p w14:paraId="47909975" w14:textId="115C09DA" w:rsidR="000107DA" w:rsidRDefault="000107DA" w:rsidP="000107DA">
      <w:pPr>
        <w:spacing w:line="360" w:lineRule="auto"/>
        <w:jc w:val="both"/>
      </w:pPr>
    </w:p>
    <w:p w14:paraId="12F2BCB3" w14:textId="0D8ECA35" w:rsidR="000107DA" w:rsidRDefault="000107DA" w:rsidP="000107DA">
      <w:pPr>
        <w:spacing w:line="360" w:lineRule="auto"/>
        <w:jc w:val="both"/>
      </w:pPr>
      <w:r>
        <w:t xml:space="preserve">There are a number of limitations to the approaches and methods described here, most significantly is the narrative visual presentation. Statistical analysis of the Google Trends data is possible but there is uncertainty about the most appropriate methods towards achieving this in a robust scientific manner (Sato, 2021). Further work is needed in this area and may be best addressed through clinical, academic and industrial partnerships with digital service providers such as Google (Arora, 2019). Additional limitations relate to the availability of data, with data not accessible at a regional level nor at a useful “city based level”. We have further, due to statistical limitations not presented data linking other </w:t>
      </w:r>
      <w:r w:rsidR="00AB5355">
        <w:t>publicly</w:t>
      </w:r>
      <w:r>
        <w:t xml:space="preserve"> available data sources (</w:t>
      </w:r>
      <w:r w:rsidR="00AB5355">
        <w:t>e.g.</w:t>
      </w:r>
      <w:r>
        <w:t xml:space="preserve"> ONS </w:t>
      </w:r>
      <w:r>
        <w:lastRenderedPageBreak/>
        <w:t>data) to Google Trends data due to the challenges of statistical robustness and this may make for interesting future work. It is important to note though at no point was the combination of data sources in any way liable to expose patient level data and this must be avoided in any future research work.</w:t>
      </w:r>
    </w:p>
    <w:p w14:paraId="6B0705BC" w14:textId="0773FDBA" w:rsidR="000107DA" w:rsidRDefault="000107DA" w:rsidP="000107DA">
      <w:pPr>
        <w:spacing w:line="360" w:lineRule="auto"/>
        <w:jc w:val="both"/>
      </w:pPr>
    </w:p>
    <w:p w14:paraId="6BB343D1" w14:textId="30DCD314" w:rsidR="000107DA" w:rsidRPr="00712EC9" w:rsidRDefault="000107DA" w:rsidP="000107DA">
      <w:pPr>
        <w:spacing w:line="360" w:lineRule="auto"/>
        <w:jc w:val="both"/>
      </w:pPr>
      <w:r>
        <w:t xml:space="preserve">In summary, </w:t>
      </w:r>
      <w:r w:rsidR="00BB3A16">
        <w:t>G</w:t>
      </w:r>
      <w:r>
        <w:t xml:space="preserve">oogle </w:t>
      </w:r>
      <w:r w:rsidR="00BB3A16">
        <w:t>T</w:t>
      </w:r>
      <w:r>
        <w:t xml:space="preserve">rends can be used as a useful tool for developing a broader understanding of the Long COVID syndrome. There is regional and international </w:t>
      </w:r>
      <w:r w:rsidRPr="00712EC9">
        <w:t>variation in frequency of searches relating to Long COVID, suggesting possible variation in incidence, awareness and acceptance</w:t>
      </w:r>
      <w:r>
        <w:t xml:space="preserve"> alongside </w:t>
      </w:r>
      <w:r w:rsidRPr="00712EC9">
        <w:t>variation in the language used</w:t>
      </w:r>
      <w:r>
        <w:t>. Further research is undoubtedly needed, in particular to build better statistical approaches to analysing the data and potentially closer working relationships between UK Research and Public Health Authorities with digital service providers to increase the utility of these datasets within appropriate governance frameworks.</w:t>
      </w:r>
    </w:p>
    <w:p w14:paraId="7AE8AFC8" w14:textId="573D8A42" w:rsidR="000107DA" w:rsidRPr="00712EC9" w:rsidRDefault="000107DA" w:rsidP="000107DA">
      <w:pPr>
        <w:spacing w:line="360" w:lineRule="auto"/>
      </w:pPr>
    </w:p>
    <w:p w14:paraId="16BF83F2" w14:textId="77777777" w:rsidR="000107DA" w:rsidRDefault="000107DA">
      <w:pPr>
        <w:sectPr w:rsidR="000107DA" w:rsidSect="00AF5E65">
          <w:pgSz w:w="11900" w:h="16840"/>
          <w:pgMar w:top="1440" w:right="1440" w:bottom="1440" w:left="1440" w:header="720" w:footer="720" w:gutter="0"/>
          <w:cols w:space="720"/>
          <w:docGrid w:linePitch="360"/>
        </w:sectPr>
      </w:pPr>
    </w:p>
    <w:p w14:paraId="62AFD03B" w14:textId="4B7E8F08" w:rsidR="005B54A7" w:rsidRDefault="005B54A7">
      <w:pPr>
        <w:rPr>
          <w:b/>
          <w:bCs/>
        </w:rPr>
      </w:pPr>
      <w:r w:rsidRPr="005B54A7">
        <w:rPr>
          <w:b/>
          <w:bCs/>
        </w:rPr>
        <w:lastRenderedPageBreak/>
        <w:t>References:</w:t>
      </w:r>
    </w:p>
    <w:p w14:paraId="5141FF4C" w14:textId="6BEBD4D5" w:rsidR="00ED0FEF" w:rsidRPr="00ED0FEF" w:rsidRDefault="00ED0FEF"/>
    <w:p w14:paraId="7EF724E7" w14:textId="483BCDBF" w:rsidR="000107DA" w:rsidRDefault="000107DA">
      <w:r w:rsidRPr="000107DA">
        <w:t>Arora, V. S., McKee, M., &amp; Stuckler, D. (2019). Google Trends: Opportunities and limitations in health and health policy research. Health Policy, 123(3), 338-341.</w:t>
      </w:r>
    </w:p>
    <w:p w14:paraId="6A4FBCFC" w14:textId="77777777" w:rsidR="000107DA" w:rsidRDefault="000107DA"/>
    <w:p w14:paraId="1011EE2F" w14:textId="6147A8EA" w:rsidR="000107DA" w:rsidRDefault="000107DA">
      <w:r w:rsidRPr="00ED0FEF">
        <w:t>Ginsberg, J., Mohebbi, M. H., Patel, R. S., Brammer, L., Smolinski, M. S., &amp; Brilliant, L. (2009). Detecting influenza epidemics using search engine query data. Nature, 457(7232), 1012-1014.</w:t>
      </w:r>
    </w:p>
    <w:p w14:paraId="1527F207" w14:textId="77777777" w:rsidR="000107DA" w:rsidRPr="00ED0FEF" w:rsidRDefault="000107DA"/>
    <w:p w14:paraId="1AEB445D" w14:textId="75EAEE98" w:rsidR="000107DA" w:rsidRDefault="000107DA" w:rsidP="000107DA">
      <w:r w:rsidRPr="000107DA">
        <w:t xml:space="preserve">Glancy, J. (2021, June 12). Why is Britain now the capital of long Covid? News | the Sunday Times. </w:t>
      </w:r>
      <w:hyperlink r:id="rId23" w:history="1">
        <w:r w:rsidRPr="009D592C">
          <w:rPr>
            <w:rStyle w:val="Hyperlink"/>
          </w:rPr>
          <w:t>https://www.thetimes.co.uk/article/why-is-britain-now-the-capital-of-long-covid-grjpvzfvw</w:t>
        </w:r>
      </w:hyperlink>
    </w:p>
    <w:p w14:paraId="205CE175" w14:textId="77777777" w:rsidR="000107DA" w:rsidRPr="000107DA" w:rsidRDefault="000107DA" w:rsidP="000107DA"/>
    <w:p w14:paraId="4EAA5B9B" w14:textId="0E378A71" w:rsidR="000107DA" w:rsidRDefault="000107DA">
      <w:r w:rsidRPr="00ED0FEF">
        <w:t>Kondratiuk, A. L., Pillay, T. D., Kon, O. M., &amp; Lalvani, A. (2021). A conceptual framework to accelerate the clinical impact of evolving research into long COVID. The Lancet Infectious Diseases, 21(6), 756-757.</w:t>
      </w:r>
    </w:p>
    <w:p w14:paraId="03C6D670" w14:textId="77777777" w:rsidR="000107DA" w:rsidRPr="00CB5433" w:rsidRDefault="000107DA"/>
    <w:p w14:paraId="78892F82" w14:textId="161C6AB3" w:rsidR="000107DA" w:rsidRPr="00CB5433" w:rsidRDefault="000107DA">
      <w:pPr>
        <w:rPr>
          <w:color w:val="222222"/>
          <w:shd w:val="clear" w:color="auto" w:fill="FFFFFF"/>
        </w:rPr>
      </w:pPr>
      <w:r w:rsidRPr="00CB5433">
        <w:rPr>
          <w:color w:val="222222"/>
          <w:shd w:val="clear" w:color="auto" w:fill="FFFFFF"/>
        </w:rPr>
        <w:t>Lloyd, C. E., Wilson, A., Holt, R. I. G., Whicher, C., Kar, P., Language Matters Group, ... &amp; Wilmot, E. (2018). Language matters: a UK perspective. </w:t>
      </w:r>
      <w:r w:rsidRPr="00CB5433">
        <w:rPr>
          <w:i/>
          <w:iCs/>
          <w:color w:val="222222"/>
          <w:shd w:val="clear" w:color="auto" w:fill="FFFFFF"/>
        </w:rPr>
        <w:t>Diabetic Medicine</w:t>
      </w:r>
      <w:r w:rsidRPr="00CB5433">
        <w:rPr>
          <w:color w:val="222222"/>
          <w:shd w:val="clear" w:color="auto" w:fill="FFFFFF"/>
        </w:rPr>
        <w:t>, </w:t>
      </w:r>
      <w:r w:rsidRPr="00CB5433">
        <w:rPr>
          <w:i/>
          <w:iCs/>
          <w:color w:val="222222"/>
          <w:shd w:val="clear" w:color="auto" w:fill="FFFFFF"/>
        </w:rPr>
        <w:t>35</w:t>
      </w:r>
      <w:r w:rsidRPr="00CB5433">
        <w:rPr>
          <w:color w:val="222222"/>
          <w:shd w:val="clear" w:color="auto" w:fill="FFFFFF"/>
        </w:rPr>
        <w:t>(12), 1635-1641.</w:t>
      </w:r>
    </w:p>
    <w:p w14:paraId="5B36231A" w14:textId="77777777" w:rsidR="000107DA" w:rsidRDefault="000107DA">
      <w:pPr>
        <w:rPr>
          <w:rFonts w:ascii="Arial" w:hAnsi="Arial" w:cs="Arial"/>
          <w:color w:val="222222"/>
          <w:sz w:val="20"/>
          <w:szCs w:val="20"/>
          <w:shd w:val="clear" w:color="auto" w:fill="FFFFFF"/>
        </w:rPr>
      </w:pPr>
    </w:p>
    <w:p w14:paraId="437261BD" w14:textId="46ED80A0" w:rsidR="000107DA" w:rsidRDefault="000107DA" w:rsidP="000107DA">
      <w:r w:rsidRPr="000107DA">
        <w:t xml:space="preserve">Nafilyan, D. A. A. V. (2022, December 5). Self-reported long COVID and labour market outcomes, UK: 2022 - Office for National Statistics. </w:t>
      </w:r>
    </w:p>
    <w:p w14:paraId="206C4E59" w14:textId="77777777" w:rsidR="000107DA" w:rsidRDefault="000107DA" w:rsidP="000107DA"/>
    <w:p w14:paraId="41F08523" w14:textId="5CCD9FB7" w:rsidR="000107DA" w:rsidRDefault="00344D70" w:rsidP="000107DA">
      <w:hyperlink r:id="rId24" w:history="1">
        <w:r w:rsidR="000107DA" w:rsidRPr="009D592C">
          <w:rPr>
            <w:rStyle w:val="Hyperlink"/>
          </w:rPr>
          <w:t>https://www.ons.gov.uk/peoplepopulationandcommunity/healthandsocialcare/conditionsanddiseases/bulletins/selfreportedlongcovidandlabourmarketoutcomesuk2022/selfreportedlongcovidandlabourmarketoutcomesuk2022</w:t>
        </w:r>
      </w:hyperlink>
    </w:p>
    <w:p w14:paraId="6E87CF01" w14:textId="77777777" w:rsidR="000107DA" w:rsidRPr="000107DA" w:rsidRDefault="000107DA" w:rsidP="000107DA"/>
    <w:p w14:paraId="433073BF" w14:textId="44B764C1" w:rsidR="000107DA" w:rsidRDefault="000107DA">
      <w:pPr>
        <w:rPr>
          <w:color w:val="222222"/>
          <w:shd w:val="clear" w:color="auto" w:fill="FFFFFF"/>
        </w:rPr>
      </w:pPr>
      <w:r w:rsidRPr="005D4062">
        <w:rPr>
          <w:color w:val="222222"/>
          <w:shd w:val="clear" w:color="auto" w:fill="FFFFFF"/>
        </w:rPr>
        <w:t>Parkin, A., Davison, J., Tarrant, R., Ross, D., Halpin, S., Simms, A., ... &amp; Sivan, M. (2021). A multidisciplinary NHS COVID-19 service to manage post-COVID-19 syndrome in the community. Journal of primary care &amp; community health, 12, 21501327211010994.</w:t>
      </w:r>
    </w:p>
    <w:p w14:paraId="4AA11B27" w14:textId="77777777" w:rsidR="000107DA" w:rsidRPr="00ED0FEF" w:rsidRDefault="000107DA">
      <w:pPr>
        <w:rPr>
          <w:color w:val="222222"/>
          <w:shd w:val="clear" w:color="auto" w:fill="FFFFFF"/>
        </w:rPr>
      </w:pPr>
    </w:p>
    <w:p w14:paraId="34D52CAC" w14:textId="2694F354" w:rsidR="000107DA" w:rsidRDefault="000107DA">
      <w:pPr>
        <w:rPr>
          <w:color w:val="222222"/>
          <w:shd w:val="clear" w:color="auto" w:fill="FFFFFF"/>
        </w:rPr>
      </w:pPr>
      <w:r w:rsidRPr="00ED0FEF">
        <w:rPr>
          <w:color w:val="222222"/>
          <w:shd w:val="clear" w:color="auto" w:fill="FFFFFF"/>
        </w:rPr>
        <w:t>Pullan, S., &amp; Dey, M. (2021). Vaccine hesitancy and anti-vaccination in the time of COVID-19: A Google Trends analysis. </w:t>
      </w:r>
      <w:r w:rsidRPr="00ED0FEF">
        <w:rPr>
          <w:i/>
          <w:iCs/>
          <w:color w:val="222222"/>
          <w:shd w:val="clear" w:color="auto" w:fill="FFFFFF"/>
        </w:rPr>
        <w:t>Vaccine</w:t>
      </w:r>
      <w:r w:rsidRPr="00ED0FEF">
        <w:rPr>
          <w:color w:val="222222"/>
          <w:shd w:val="clear" w:color="auto" w:fill="FFFFFF"/>
        </w:rPr>
        <w:t>, </w:t>
      </w:r>
      <w:r w:rsidRPr="00ED0FEF">
        <w:rPr>
          <w:i/>
          <w:iCs/>
          <w:color w:val="222222"/>
          <w:shd w:val="clear" w:color="auto" w:fill="FFFFFF"/>
        </w:rPr>
        <w:t>39</w:t>
      </w:r>
      <w:r w:rsidRPr="00ED0FEF">
        <w:rPr>
          <w:color w:val="222222"/>
          <w:shd w:val="clear" w:color="auto" w:fill="FFFFFF"/>
        </w:rPr>
        <w:t>(14), 1877-1881.</w:t>
      </w:r>
    </w:p>
    <w:p w14:paraId="3B4798A2" w14:textId="77777777" w:rsidR="000107DA" w:rsidRDefault="000107DA">
      <w:pPr>
        <w:rPr>
          <w:color w:val="222222"/>
          <w:shd w:val="clear" w:color="auto" w:fill="FFFFFF"/>
        </w:rPr>
      </w:pPr>
    </w:p>
    <w:p w14:paraId="711F847E" w14:textId="219B753F" w:rsidR="000107DA" w:rsidRDefault="000107DA">
      <w:pPr>
        <w:rPr>
          <w:color w:val="222222"/>
          <w:shd w:val="clear" w:color="auto" w:fill="FFFFFF"/>
        </w:rPr>
      </w:pPr>
      <w:r w:rsidRPr="00ED0FEF">
        <w:rPr>
          <w:color w:val="222222"/>
          <w:shd w:val="clear" w:color="auto" w:fill="FFFFFF"/>
        </w:rPr>
        <w:t>Rovetta, A. (2021). Reliability of Google Trends: Analysis of the limits and potential of web infoveillance during COVID-19 pandemic and for future research. </w:t>
      </w:r>
      <w:r w:rsidRPr="00ED0FEF">
        <w:rPr>
          <w:i/>
          <w:iCs/>
          <w:color w:val="222222"/>
          <w:shd w:val="clear" w:color="auto" w:fill="FFFFFF"/>
        </w:rPr>
        <w:t>Frontiers in research metrics and analytics</w:t>
      </w:r>
      <w:r w:rsidRPr="00ED0FEF">
        <w:rPr>
          <w:color w:val="222222"/>
          <w:shd w:val="clear" w:color="auto" w:fill="FFFFFF"/>
        </w:rPr>
        <w:t>, </w:t>
      </w:r>
      <w:r w:rsidRPr="00ED0FEF">
        <w:rPr>
          <w:i/>
          <w:iCs/>
          <w:color w:val="222222"/>
          <w:shd w:val="clear" w:color="auto" w:fill="FFFFFF"/>
        </w:rPr>
        <w:t>6</w:t>
      </w:r>
      <w:r w:rsidRPr="00ED0FEF">
        <w:rPr>
          <w:color w:val="222222"/>
          <w:shd w:val="clear" w:color="auto" w:fill="FFFFFF"/>
        </w:rPr>
        <w:t>, 670226</w:t>
      </w:r>
    </w:p>
    <w:p w14:paraId="63EDAFB3" w14:textId="3950F227" w:rsidR="000107DA" w:rsidRDefault="000107DA">
      <w:pPr>
        <w:rPr>
          <w:color w:val="222222"/>
          <w:shd w:val="clear" w:color="auto" w:fill="FFFFFF"/>
        </w:rPr>
      </w:pPr>
    </w:p>
    <w:p w14:paraId="71668CDE" w14:textId="57C15B9F" w:rsidR="000107DA" w:rsidRDefault="000107DA">
      <w:pPr>
        <w:rPr>
          <w:color w:val="222222"/>
          <w:shd w:val="clear" w:color="auto" w:fill="FFFFFF"/>
        </w:rPr>
      </w:pPr>
      <w:r w:rsidRPr="000107DA">
        <w:rPr>
          <w:color w:val="222222"/>
          <w:shd w:val="clear" w:color="auto" w:fill="FFFFFF"/>
        </w:rPr>
        <w:t>Sato, K., Mano, T., Iwata, A., &amp; Toda, T. (2021). Need of care in interpreting Google Trends-based COVID-19 infodemiological study results: potential risk of false-positivity. BMC medical research methodology, 21(1), 1-10.</w:t>
      </w:r>
    </w:p>
    <w:p w14:paraId="0C80F689" w14:textId="77777777" w:rsidR="000107DA" w:rsidRDefault="000107DA">
      <w:pPr>
        <w:rPr>
          <w:color w:val="222222"/>
          <w:shd w:val="clear" w:color="auto" w:fill="FFFFFF"/>
        </w:rPr>
      </w:pPr>
    </w:p>
    <w:p w14:paraId="612AD6F3" w14:textId="511BEC63" w:rsidR="000107DA" w:rsidRDefault="000107DA" w:rsidP="005D4062">
      <w:r w:rsidRPr="005D4062">
        <w:t xml:space="preserve">Search Engine Market Share Worldwide | Statcounter Global Stats. (n.d.). StatCounter Global Stats. </w:t>
      </w:r>
      <w:hyperlink r:id="rId25" w:history="1">
        <w:r w:rsidRPr="009D592C">
          <w:rPr>
            <w:rStyle w:val="Hyperlink"/>
          </w:rPr>
          <w:t>https://gs.statcounter.com/search-engine-market-share</w:t>
        </w:r>
      </w:hyperlink>
    </w:p>
    <w:p w14:paraId="61D920CE" w14:textId="77777777" w:rsidR="000107DA" w:rsidRPr="005D4062" w:rsidRDefault="000107DA" w:rsidP="005D4062"/>
    <w:p w14:paraId="438507D0" w14:textId="46C17036" w:rsidR="000107DA" w:rsidRPr="00CB5433" w:rsidRDefault="000107DA">
      <w:pPr>
        <w:rPr>
          <w:color w:val="222222"/>
          <w:shd w:val="clear" w:color="auto" w:fill="FFFFFF"/>
        </w:rPr>
      </w:pPr>
      <w:r w:rsidRPr="00CB5433">
        <w:rPr>
          <w:color w:val="222222"/>
          <w:shd w:val="clear" w:color="auto" w:fill="FFFFFF"/>
        </w:rPr>
        <w:t>Shabnam, S., Razieh, C., Dambha-Miller, H., Yates, T., Gillies, C., Chudasama, Y. V., ... &amp; Islam, N. (2022). Socioeconomic inequalities of Long COVID: findings from a population-based survey in the United Kingdom. </w:t>
      </w:r>
      <w:r w:rsidRPr="00CB5433">
        <w:rPr>
          <w:i/>
          <w:iCs/>
          <w:color w:val="222222"/>
          <w:shd w:val="clear" w:color="auto" w:fill="FFFFFF"/>
        </w:rPr>
        <w:t>medRxiv</w:t>
      </w:r>
      <w:r w:rsidRPr="00CB5433">
        <w:rPr>
          <w:color w:val="222222"/>
          <w:shd w:val="clear" w:color="auto" w:fill="FFFFFF"/>
        </w:rPr>
        <w:t>, 2022-10.</w:t>
      </w:r>
    </w:p>
    <w:p w14:paraId="05FAAF2C" w14:textId="77777777" w:rsidR="000107DA" w:rsidRPr="00ED0FEF" w:rsidRDefault="000107DA"/>
    <w:p w14:paraId="618980BD" w14:textId="7D1EDF81" w:rsidR="000107DA" w:rsidRDefault="000107DA">
      <w:r w:rsidRPr="00ED0FEF">
        <w:lastRenderedPageBreak/>
        <w:t>Shah, W., Hillman, T., Playford, E. D., &amp; Hishmeh, L. (2021). Managing the long term effects of covid-19: summary of NICE, SIGN, and RCGP rapid guideline. bmj, 372.</w:t>
      </w:r>
    </w:p>
    <w:p w14:paraId="247164BB" w14:textId="77777777" w:rsidR="000107DA" w:rsidRPr="00ED0FEF" w:rsidRDefault="000107DA"/>
    <w:p w14:paraId="731CCC1E" w14:textId="77777777" w:rsidR="000107DA" w:rsidRPr="00ED0FEF" w:rsidRDefault="000107DA">
      <w:r w:rsidRPr="00ED0FEF">
        <w:t>Sudre, C. H., Murray, B., Varsavsky, T., Graham, M. S., Penfold, R. S., Bowyer, R. C., ... &amp; Steves, C. J. (2021). Attributes and predictors of long COVID. Nature medicine, 27(4), 626-631.</w:t>
      </w:r>
    </w:p>
    <w:p w14:paraId="32CF8599" w14:textId="2D321FFE" w:rsidR="000107DA" w:rsidRDefault="000107DA">
      <w:r w:rsidRPr="00ED0FEF">
        <w:t>Thompson, E. J., Williams, D. M., Walker, A. J., Mitchell, R. E., Niedzwiedz, C. L., Yang, T. C., ... &amp; Steves, C. J. (2021). Risk factors for long COVID: analyses of 10 longitudinal studies and electronic health records in the UK. MedRxiv, 2021-06.</w:t>
      </w:r>
    </w:p>
    <w:p w14:paraId="770226BE" w14:textId="77777777" w:rsidR="000107DA" w:rsidRPr="00ED0FEF" w:rsidRDefault="000107DA"/>
    <w:p w14:paraId="5E450B3B" w14:textId="28952E34" w:rsidR="000107DA" w:rsidRDefault="000107DA">
      <w:pPr>
        <w:rPr>
          <w:color w:val="222222"/>
          <w:shd w:val="clear" w:color="auto" w:fill="FFFFFF"/>
        </w:rPr>
      </w:pPr>
      <w:r w:rsidRPr="00ED0FEF">
        <w:rPr>
          <w:color w:val="222222"/>
          <w:shd w:val="clear" w:color="auto" w:fill="FFFFFF"/>
        </w:rPr>
        <w:t>Walker, A., Hopkins, C., &amp; Surda, P. (2020, July). Use of Google Trends to investigate loss‐of‐smell‒related searches during the COVID‐19 outbreak. In </w:t>
      </w:r>
      <w:r w:rsidRPr="00ED0FEF">
        <w:rPr>
          <w:i/>
          <w:iCs/>
          <w:color w:val="222222"/>
          <w:shd w:val="clear" w:color="auto" w:fill="FFFFFF"/>
        </w:rPr>
        <w:t>International forum of allergy &amp; rhinology</w:t>
      </w:r>
      <w:r w:rsidRPr="00ED0FEF">
        <w:rPr>
          <w:color w:val="222222"/>
          <w:shd w:val="clear" w:color="auto" w:fill="FFFFFF"/>
        </w:rPr>
        <w:t> (Vol. 10, No. 7, pp. 839-847).</w:t>
      </w:r>
    </w:p>
    <w:p w14:paraId="7E1A3902" w14:textId="77777777" w:rsidR="000107DA" w:rsidRPr="00ED0FEF" w:rsidRDefault="000107DA">
      <w:pPr>
        <w:rPr>
          <w:color w:val="222222"/>
          <w:shd w:val="clear" w:color="auto" w:fill="FFFFFF"/>
        </w:rPr>
      </w:pPr>
    </w:p>
    <w:p w14:paraId="19CCCFAC" w14:textId="77777777" w:rsidR="000107DA" w:rsidRPr="00ED0FEF" w:rsidRDefault="000107DA">
      <w:pPr>
        <w:rPr>
          <w:color w:val="222222"/>
          <w:shd w:val="clear" w:color="auto" w:fill="FFFFFF"/>
        </w:rPr>
      </w:pPr>
      <w:r w:rsidRPr="00ED0FEF">
        <w:rPr>
          <w:color w:val="222222"/>
          <w:shd w:val="clear" w:color="auto" w:fill="FFFFFF"/>
        </w:rPr>
        <w:t>Whitaker, M., Elliott, J., Chadeau-Hyam, M., Riley, S., Darzi, A., Cooke, G., ... &amp; Elliott, P. (2021). Persistent symptoms following SARS-CoV-2 infection in a random community sample of 508,707 people. </w:t>
      </w:r>
      <w:r w:rsidRPr="00ED0FEF">
        <w:rPr>
          <w:i/>
          <w:iCs/>
          <w:color w:val="222222"/>
          <w:shd w:val="clear" w:color="auto" w:fill="FFFFFF"/>
        </w:rPr>
        <w:t>Medrxiv</w:t>
      </w:r>
      <w:r w:rsidRPr="00ED0FEF">
        <w:rPr>
          <w:color w:val="222222"/>
          <w:shd w:val="clear" w:color="auto" w:fill="FFFFFF"/>
        </w:rPr>
        <w:t>, 2021-06.</w:t>
      </w:r>
    </w:p>
    <w:sectPr w:rsidR="000107DA" w:rsidRPr="00ED0FEF" w:rsidSect="00AF5E65">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4010C" w14:textId="77777777" w:rsidR="009A0EA2" w:rsidRDefault="009A0EA2" w:rsidP="001D253C">
      <w:r>
        <w:separator/>
      </w:r>
    </w:p>
  </w:endnote>
  <w:endnote w:type="continuationSeparator" w:id="0">
    <w:p w14:paraId="341A95AF" w14:textId="77777777" w:rsidR="009A0EA2" w:rsidRDefault="009A0EA2" w:rsidP="001D2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Headings)">
    <w:altName w:val="Calibri Ligh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C5123" w14:textId="77777777" w:rsidR="00A30708" w:rsidRDefault="00A307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7581555"/>
      <w:docPartObj>
        <w:docPartGallery w:val="Page Numbers (Bottom of Page)"/>
        <w:docPartUnique/>
      </w:docPartObj>
    </w:sdtPr>
    <w:sdtEndPr>
      <w:rPr>
        <w:noProof/>
      </w:rPr>
    </w:sdtEndPr>
    <w:sdtContent>
      <w:p w14:paraId="0CA57E63" w14:textId="07251D39" w:rsidR="002B6CE6" w:rsidRDefault="002B6C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C5294E" w14:textId="77777777" w:rsidR="002B6CE6" w:rsidRDefault="002B6C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42561" w14:textId="77777777" w:rsidR="00A30708" w:rsidRDefault="00A30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4AE65" w14:textId="77777777" w:rsidR="009A0EA2" w:rsidRDefault="009A0EA2" w:rsidP="001D253C">
      <w:r>
        <w:separator/>
      </w:r>
    </w:p>
  </w:footnote>
  <w:footnote w:type="continuationSeparator" w:id="0">
    <w:p w14:paraId="388F3EE8" w14:textId="77777777" w:rsidR="009A0EA2" w:rsidRDefault="009A0EA2" w:rsidP="001D25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68FBE" w14:textId="77777777" w:rsidR="00A30708" w:rsidRDefault="00A307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F69C" w14:textId="2DD76191" w:rsidR="00A30708" w:rsidRDefault="00A30708">
    <w:pPr>
      <w:pStyle w:val="Header"/>
    </w:pPr>
    <w:r>
      <w:rPr>
        <w:noProof/>
      </w:rPr>
      <w:drawing>
        <wp:anchor distT="0" distB="0" distL="114300" distR="114300" simplePos="0" relativeHeight="251658240" behindDoc="0" locked="0" layoutInCell="1" allowOverlap="1" wp14:anchorId="3AC6BB90" wp14:editId="294D7D5D">
          <wp:simplePos x="0" y="0"/>
          <wp:positionH relativeFrom="column">
            <wp:posOffset>5082540</wp:posOffset>
          </wp:positionH>
          <wp:positionV relativeFrom="paragraph">
            <wp:posOffset>-228600</wp:posOffset>
          </wp:positionV>
          <wp:extent cx="1363187" cy="488021"/>
          <wp:effectExtent l="0" t="0" r="8890" b="762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3187" cy="488021"/>
                  </a:xfrm>
                  <a:prstGeom prst="rect">
                    <a:avLst/>
                  </a:prstGeom>
                  <a:noFill/>
                  <a:ln>
                    <a:noFill/>
                  </a:ln>
                </pic:spPr>
              </pic:pic>
            </a:graphicData>
          </a:graphic>
        </wp:anchor>
      </w:drawing>
    </w:r>
    <w:r>
      <w:rPr>
        <w:rFonts w:ascii="Calibri" w:hAnsi="Calibri" w:cs="Calibri"/>
        <w:color w:val="000000"/>
        <w:sz w:val="22"/>
        <w:szCs w:val="22"/>
        <w:shd w:val="clear" w:color="auto" w:fill="FFFFFF"/>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6D71E" w14:textId="77777777" w:rsidR="00A30708" w:rsidRDefault="00A30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F737A"/>
    <w:multiLevelType w:val="multilevel"/>
    <w:tmpl w:val="D78CB8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270EC5"/>
    <w:multiLevelType w:val="multilevel"/>
    <w:tmpl w:val="875C5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80003D"/>
    <w:multiLevelType w:val="hybridMultilevel"/>
    <w:tmpl w:val="23DAC77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1A07552"/>
    <w:multiLevelType w:val="multilevel"/>
    <w:tmpl w:val="307A4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4B6358F"/>
    <w:multiLevelType w:val="hybridMultilevel"/>
    <w:tmpl w:val="B486F20A"/>
    <w:lvl w:ilvl="0" w:tplc="02084438">
      <w:start w:val="1"/>
      <w:numFmt w:val="decimal"/>
      <w:lvlText w:val="%1."/>
      <w:lvlJc w:val="left"/>
      <w:pPr>
        <w:tabs>
          <w:tab w:val="num" w:pos="720"/>
        </w:tabs>
        <w:ind w:left="720" w:hanging="360"/>
      </w:pPr>
    </w:lvl>
    <w:lvl w:ilvl="1" w:tplc="7FC408A4" w:tentative="1">
      <w:start w:val="1"/>
      <w:numFmt w:val="decimal"/>
      <w:lvlText w:val="%2."/>
      <w:lvlJc w:val="left"/>
      <w:pPr>
        <w:tabs>
          <w:tab w:val="num" w:pos="1440"/>
        </w:tabs>
        <w:ind w:left="1440" w:hanging="360"/>
      </w:pPr>
    </w:lvl>
    <w:lvl w:ilvl="2" w:tplc="FFB43330" w:tentative="1">
      <w:start w:val="1"/>
      <w:numFmt w:val="decimal"/>
      <w:lvlText w:val="%3."/>
      <w:lvlJc w:val="left"/>
      <w:pPr>
        <w:tabs>
          <w:tab w:val="num" w:pos="2160"/>
        </w:tabs>
        <w:ind w:left="2160" w:hanging="360"/>
      </w:pPr>
    </w:lvl>
    <w:lvl w:ilvl="3" w:tplc="18888AEA" w:tentative="1">
      <w:start w:val="1"/>
      <w:numFmt w:val="decimal"/>
      <w:lvlText w:val="%4."/>
      <w:lvlJc w:val="left"/>
      <w:pPr>
        <w:tabs>
          <w:tab w:val="num" w:pos="2880"/>
        </w:tabs>
        <w:ind w:left="2880" w:hanging="360"/>
      </w:pPr>
    </w:lvl>
    <w:lvl w:ilvl="4" w:tplc="CCF46AC8" w:tentative="1">
      <w:start w:val="1"/>
      <w:numFmt w:val="decimal"/>
      <w:lvlText w:val="%5."/>
      <w:lvlJc w:val="left"/>
      <w:pPr>
        <w:tabs>
          <w:tab w:val="num" w:pos="3600"/>
        </w:tabs>
        <w:ind w:left="3600" w:hanging="360"/>
      </w:pPr>
    </w:lvl>
    <w:lvl w:ilvl="5" w:tplc="16FAB8E0" w:tentative="1">
      <w:start w:val="1"/>
      <w:numFmt w:val="decimal"/>
      <w:lvlText w:val="%6."/>
      <w:lvlJc w:val="left"/>
      <w:pPr>
        <w:tabs>
          <w:tab w:val="num" w:pos="4320"/>
        </w:tabs>
        <w:ind w:left="4320" w:hanging="360"/>
      </w:pPr>
    </w:lvl>
    <w:lvl w:ilvl="6" w:tplc="F5DEE86E" w:tentative="1">
      <w:start w:val="1"/>
      <w:numFmt w:val="decimal"/>
      <w:lvlText w:val="%7."/>
      <w:lvlJc w:val="left"/>
      <w:pPr>
        <w:tabs>
          <w:tab w:val="num" w:pos="5040"/>
        </w:tabs>
        <w:ind w:left="5040" w:hanging="360"/>
      </w:pPr>
    </w:lvl>
    <w:lvl w:ilvl="7" w:tplc="75B62E04" w:tentative="1">
      <w:start w:val="1"/>
      <w:numFmt w:val="decimal"/>
      <w:lvlText w:val="%8."/>
      <w:lvlJc w:val="left"/>
      <w:pPr>
        <w:tabs>
          <w:tab w:val="num" w:pos="5760"/>
        </w:tabs>
        <w:ind w:left="5760" w:hanging="360"/>
      </w:pPr>
    </w:lvl>
    <w:lvl w:ilvl="8" w:tplc="93F0F212" w:tentative="1">
      <w:start w:val="1"/>
      <w:numFmt w:val="decimal"/>
      <w:lvlText w:val="%9."/>
      <w:lvlJc w:val="left"/>
      <w:pPr>
        <w:tabs>
          <w:tab w:val="num" w:pos="6480"/>
        </w:tabs>
        <w:ind w:left="6480" w:hanging="360"/>
      </w:pPr>
    </w:lvl>
  </w:abstractNum>
  <w:abstractNum w:abstractNumId="5" w15:restartNumberingAfterBreak="0">
    <w:nsid w:val="7F6A6B93"/>
    <w:multiLevelType w:val="multilevel"/>
    <w:tmpl w:val="11DEB614"/>
    <w:lvl w:ilvl="0">
      <w:start w:val="1"/>
      <w:numFmt w:val="decimal"/>
      <w:pStyle w:val="Heading5"/>
      <w:suff w:val="space"/>
      <w:lvlText w:val="Chapter %1"/>
      <w:lvlJc w:val="left"/>
      <w:pPr>
        <w:ind w:left="1986"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16cid:durableId="459954220">
    <w:abstractNumId w:val="5"/>
  </w:num>
  <w:num w:numId="2" w16cid:durableId="1504321641">
    <w:abstractNumId w:val="5"/>
  </w:num>
  <w:num w:numId="3" w16cid:durableId="872961450">
    <w:abstractNumId w:val="5"/>
  </w:num>
  <w:num w:numId="4" w16cid:durableId="300037466">
    <w:abstractNumId w:val="5"/>
  </w:num>
  <w:num w:numId="5" w16cid:durableId="374088918">
    <w:abstractNumId w:val="5"/>
  </w:num>
  <w:num w:numId="6" w16cid:durableId="1121194177">
    <w:abstractNumId w:val="5"/>
  </w:num>
  <w:num w:numId="7" w16cid:durableId="1895581318">
    <w:abstractNumId w:val="5"/>
  </w:num>
  <w:num w:numId="8" w16cid:durableId="1793355918">
    <w:abstractNumId w:val="5"/>
  </w:num>
  <w:num w:numId="9" w16cid:durableId="237789509">
    <w:abstractNumId w:val="1"/>
  </w:num>
  <w:num w:numId="10" w16cid:durableId="1895392040">
    <w:abstractNumId w:val="3"/>
  </w:num>
  <w:num w:numId="11" w16cid:durableId="340359868">
    <w:abstractNumId w:val="0"/>
  </w:num>
  <w:num w:numId="12" w16cid:durableId="226302124">
    <w:abstractNumId w:val="4"/>
  </w:num>
  <w:num w:numId="13" w16cid:durableId="7723619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8D"/>
    <w:rsid w:val="000064AE"/>
    <w:rsid w:val="00006A28"/>
    <w:rsid w:val="000107DA"/>
    <w:rsid w:val="000124DE"/>
    <w:rsid w:val="0001449D"/>
    <w:rsid w:val="00024371"/>
    <w:rsid w:val="00024748"/>
    <w:rsid w:val="0002477E"/>
    <w:rsid w:val="000359D1"/>
    <w:rsid w:val="00065DAA"/>
    <w:rsid w:val="00073A94"/>
    <w:rsid w:val="000767F8"/>
    <w:rsid w:val="00086F02"/>
    <w:rsid w:val="00091507"/>
    <w:rsid w:val="00091523"/>
    <w:rsid w:val="000A701B"/>
    <w:rsid w:val="000B1B8A"/>
    <w:rsid w:val="000D513C"/>
    <w:rsid w:val="000E10A0"/>
    <w:rsid w:val="000E2FC5"/>
    <w:rsid w:val="000E4B17"/>
    <w:rsid w:val="000E697F"/>
    <w:rsid w:val="00110411"/>
    <w:rsid w:val="00113EC2"/>
    <w:rsid w:val="00122ED3"/>
    <w:rsid w:val="0015095C"/>
    <w:rsid w:val="00156209"/>
    <w:rsid w:val="0016490B"/>
    <w:rsid w:val="00183A3C"/>
    <w:rsid w:val="001C76E9"/>
    <w:rsid w:val="001D253C"/>
    <w:rsid w:val="001F00EA"/>
    <w:rsid w:val="001F1061"/>
    <w:rsid w:val="00214C91"/>
    <w:rsid w:val="00232B54"/>
    <w:rsid w:val="002424EE"/>
    <w:rsid w:val="0024286B"/>
    <w:rsid w:val="00252689"/>
    <w:rsid w:val="0026617D"/>
    <w:rsid w:val="0026658D"/>
    <w:rsid w:val="00266D28"/>
    <w:rsid w:val="00267364"/>
    <w:rsid w:val="0027031D"/>
    <w:rsid w:val="00271DA5"/>
    <w:rsid w:val="00275372"/>
    <w:rsid w:val="002852C9"/>
    <w:rsid w:val="002A3041"/>
    <w:rsid w:val="002A7CEB"/>
    <w:rsid w:val="002B2FFC"/>
    <w:rsid w:val="002B6784"/>
    <w:rsid w:val="002B6CE6"/>
    <w:rsid w:val="002C7582"/>
    <w:rsid w:val="002E69D8"/>
    <w:rsid w:val="0031316F"/>
    <w:rsid w:val="00322FF2"/>
    <w:rsid w:val="00325000"/>
    <w:rsid w:val="00344D70"/>
    <w:rsid w:val="00351E18"/>
    <w:rsid w:val="0038135C"/>
    <w:rsid w:val="00385659"/>
    <w:rsid w:val="00385FF8"/>
    <w:rsid w:val="00394F7C"/>
    <w:rsid w:val="003A70CF"/>
    <w:rsid w:val="003B59D8"/>
    <w:rsid w:val="003B5D60"/>
    <w:rsid w:val="003C389B"/>
    <w:rsid w:val="003D61A5"/>
    <w:rsid w:val="00401EB6"/>
    <w:rsid w:val="00412D52"/>
    <w:rsid w:val="00421E57"/>
    <w:rsid w:val="004306ED"/>
    <w:rsid w:val="00435DEA"/>
    <w:rsid w:val="00441E55"/>
    <w:rsid w:val="004501F0"/>
    <w:rsid w:val="00452668"/>
    <w:rsid w:val="004532D6"/>
    <w:rsid w:val="0049319E"/>
    <w:rsid w:val="004A1D1C"/>
    <w:rsid w:val="004A390D"/>
    <w:rsid w:val="004E135C"/>
    <w:rsid w:val="004E2DAE"/>
    <w:rsid w:val="004E74F5"/>
    <w:rsid w:val="004E786F"/>
    <w:rsid w:val="004F124B"/>
    <w:rsid w:val="005048CF"/>
    <w:rsid w:val="00516556"/>
    <w:rsid w:val="00521313"/>
    <w:rsid w:val="005231D8"/>
    <w:rsid w:val="005519CB"/>
    <w:rsid w:val="00571B46"/>
    <w:rsid w:val="0057665E"/>
    <w:rsid w:val="00583C0C"/>
    <w:rsid w:val="00587093"/>
    <w:rsid w:val="00595D83"/>
    <w:rsid w:val="005A2380"/>
    <w:rsid w:val="005B54A7"/>
    <w:rsid w:val="005C0FDB"/>
    <w:rsid w:val="005D4062"/>
    <w:rsid w:val="005D77A8"/>
    <w:rsid w:val="005E2B4A"/>
    <w:rsid w:val="005F3177"/>
    <w:rsid w:val="005F3B8B"/>
    <w:rsid w:val="00606D37"/>
    <w:rsid w:val="0064401A"/>
    <w:rsid w:val="00651308"/>
    <w:rsid w:val="006535B5"/>
    <w:rsid w:val="006611E8"/>
    <w:rsid w:val="00661FBB"/>
    <w:rsid w:val="006673DF"/>
    <w:rsid w:val="00691901"/>
    <w:rsid w:val="006A0869"/>
    <w:rsid w:val="006B760F"/>
    <w:rsid w:val="006E1BAE"/>
    <w:rsid w:val="006E254B"/>
    <w:rsid w:val="006E5573"/>
    <w:rsid w:val="006E6F43"/>
    <w:rsid w:val="006F73FD"/>
    <w:rsid w:val="00712EC9"/>
    <w:rsid w:val="00730FF1"/>
    <w:rsid w:val="00737806"/>
    <w:rsid w:val="00743E89"/>
    <w:rsid w:val="00756279"/>
    <w:rsid w:val="00757744"/>
    <w:rsid w:val="00757939"/>
    <w:rsid w:val="007A146F"/>
    <w:rsid w:val="007A6849"/>
    <w:rsid w:val="007C3EB5"/>
    <w:rsid w:val="007F0D4E"/>
    <w:rsid w:val="007F0FE7"/>
    <w:rsid w:val="007F1B66"/>
    <w:rsid w:val="007F3535"/>
    <w:rsid w:val="00812C81"/>
    <w:rsid w:val="0082790A"/>
    <w:rsid w:val="008316A6"/>
    <w:rsid w:val="00840A37"/>
    <w:rsid w:val="00846F77"/>
    <w:rsid w:val="00877548"/>
    <w:rsid w:val="00877E97"/>
    <w:rsid w:val="0088183D"/>
    <w:rsid w:val="008871A6"/>
    <w:rsid w:val="00890A14"/>
    <w:rsid w:val="008C17CF"/>
    <w:rsid w:val="008C5D20"/>
    <w:rsid w:val="008D0D94"/>
    <w:rsid w:val="008E5030"/>
    <w:rsid w:val="00903078"/>
    <w:rsid w:val="00926EEA"/>
    <w:rsid w:val="00947A54"/>
    <w:rsid w:val="00956F86"/>
    <w:rsid w:val="0096540B"/>
    <w:rsid w:val="0097662D"/>
    <w:rsid w:val="009A0EA2"/>
    <w:rsid w:val="009A55E6"/>
    <w:rsid w:val="009A66E8"/>
    <w:rsid w:val="009C7A0C"/>
    <w:rsid w:val="009D681F"/>
    <w:rsid w:val="009F1171"/>
    <w:rsid w:val="009F6C89"/>
    <w:rsid w:val="00A000E5"/>
    <w:rsid w:val="00A01BE0"/>
    <w:rsid w:val="00A11266"/>
    <w:rsid w:val="00A30708"/>
    <w:rsid w:val="00A324CC"/>
    <w:rsid w:val="00A34E8D"/>
    <w:rsid w:val="00A375D7"/>
    <w:rsid w:val="00A46BFA"/>
    <w:rsid w:val="00A46EBE"/>
    <w:rsid w:val="00A66234"/>
    <w:rsid w:val="00A7697B"/>
    <w:rsid w:val="00A7736F"/>
    <w:rsid w:val="00A84C76"/>
    <w:rsid w:val="00A96D9A"/>
    <w:rsid w:val="00AA4CAA"/>
    <w:rsid w:val="00AB5355"/>
    <w:rsid w:val="00AB78E2"/>
    <w:rsid w:val="00AB7AA7"/>
    <w:rsid w:val="00AC73BA"/>
    <w:rsid w:val="00AD4D74"/>
    <w:rsid w:val="00AE4077"/>
    <w:rsid w:val="00AF1660"/>
    <w:rsid w:val="00AF5E65"/>
    <w:rsid w:val="00AF6318"/>
    <w:rsid w:val="00B02782"/>
    <w:rsid w:val="00B061F9"/>
    <w:rsid w:val="00B1071A"/>
    <w:rsid w:val="00B21997"/>
    <w:rsid w:val="00B51CC4"/>
    <w:rsid w:val="00B66FF3"/>
    <w:rsid w:val="00B720C8"/>
    <w:rsid w:val="00B7766D"/>
    <w:rsid w:val="00B860B0"/>
    <w:rsid w:val="00B93348"/>
    <w:rsid w:val="00BA67BE"/>
    <w:rsid w:val="00BB3A16"/>
    <w:rsid w:val="00BC3272"/>
    <w:rsid w:val="00C2133A"/>
    <w:rsid w:val="00C442B0"/>
    <w:rsid w:val="00C56902"/>
    <w:rsid w:val="00C86F29"/>
    <w:rsid w:val="00C97316"/>
    <w:rsid w:val="00CA16CD"/>
    <w:rsid w:val="00CB42A2"/>
    <w:rsid w:val="00CB5433"/>
    <w:rsid w:val="00CC7166"/>
    <w:rsid w:val="00CE1F49"/>
    <w:rsid w:val="00CE59CD"/>
    <w:rsid w:val="00D24DAB"/>
    <w:rsid w:val="00D30CC6"/>
    <w:rsid w:val="00D35015"/>
    <w:rsid w:val="00D4175D"/>
    <w:rsid w:val="00D4262C"/>
    <w:rsid w:val="00D57E69"/>
    <w:rsid w:val="00D61616"/>
    <w:rsid w:val="00D6352C"/>
    <w:rsid w:val="00D743F9"/>
    <w:rsid w:val="00D857A5"/>
    <w:rsid w:val="00D9214B"/>
    <w:rsid w:val="00DA196C"/>
    <w:rsid w:val="00DB4A5F"/>
    <w:rsid w:val="00DD0ABB"/>
    <w:rsid w:val="00DD0E62"/>
    <w:rsid w:val="00DD3446"/>
    <w:rsid w:val="00E206F0"/>
    <w:rsid w:val="00E221E6"/>
    <w:rsid w:val="00E30EAD"/>
    <w:rsid w:val="00E738C7"/>
    <w:rsid w:val="00E75E98"/>
    <w:rsid w:val="00EA091E"/>
    <w:rsid w:val="00EC238B"/>
    <w:rsid w:val="00EC61D1"/>
    <w:rsid w:val="00ED0FEF"/>
    <w:rsid w:val="00ED4E09"/>
    <w:rsid w:val="00ED585D"/>
    <w:rsid w:val="00EE0D69"/>
    <w:rsid w:val="00EE2A05"/>
    <w:rsid w:val="00F02C20"/>
    <w:rsid w:val="00F03CA0"/>
    <w:rsid w:val="00F0630B"/>
    <w:rsid w:val="00F21C3D"/>
    <w:rsid w:val="00F31C97"/>
    <w:rsid w:val="00F341F8"/>
    <w:rsid w:val="00F467BB"/>
    <w:rsid w:val="00F46D06"/>
    <w:rsid w:val="00F55E3A"/>
    <w:rsid w:val="00F56240"/>
    <w:rsid w:val="00F67A32"/>
    <w:rsid w:val="00F71D74"/>
    <w:rsid w:val="00F73856"/>
    <w:rsid w:val="00F76D5C"/>
    <w:rsid w:val="00F903DB"/>
    <w:rsid w:val="00F91168"/>
    <w:rsid w:val="00F97799"/>
    <w:rsid w:val="00FA239B"/>
    <w:rsid w:val="00FC0984"/>
    <w:rsid w:val="00FC4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F50E32"/>
  <w14:defaultImageDpi w14:val="32767"/>
  <w15:chartTrackingRefBased/>
  <w15:docId w15:val="{CC29FB0A-A35A-A14D-87F7-9196A4027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C76E9"/>
    <w:rPr>
      <w:rFonts w:ascii="Times New Roman" w:hAnsi="Times New Roman" w:cs="Times New Roman"/>
    </w:rPr>
  </w:style>
  <w:style w:type="paragraph" w:styleId="Heading1">
    <w:name w:val="heading 1"/>
    <w:aliases w:val="Thesis Section Heading"/>
    <w:basedOn w:val="Normal"/>
    <w:link w:val="Heading1Char"/>
    <w:uiPriority w:val="9"/>
    <w:qFormat/>
    <w:rsid w:val="001C76E9"/>
    <w:pPr>
      <w:spacing w:before="360" w:after="240" w:line="360" w:lineRule="auto"/>
      <w:outlineLvl w:val="0"/>
    </w:pPr>
    <w:rPr>
      <w:rFonts w:ascii="Arial" w:hAnsi="Arial"/>
      <w:b/>
      <w:bCs/>
      <w:color w:val="1F3864" w:themeColor="accent1" w:themeShade="80"/>
      <w:kern w:val="36"/>
      <w:sz w:val="26"/>
      <w:szCs w:val="48"/>
    </w:rPr>
  </w:style>
  <w:style w:type="paragraph" w:styleId="Heading2">
    <w:name w:val="heading 2"/>
    <w:aliases w:val="Chapter heading"/>
    <w:basedOn w:val="Normal"/>
    <w:next w:val="Normal"/>
    <w:link w:val="Heading2Char"/>
    <w:autoRedefine/>
    <w:uiPriority w:val="9"/>
    <w:unhideWhenUsed/>
    <w:qFormat/>
    <w:rsid w:val="001C76E9"/>
    <w:pPr>
      <w:keepNext/>
      <w:keepLines/>
      <w:numPr>
        <w:ilvl w:val="1"/>
        <w:numId w:val="8"/>
      </w:numPr>
      <w:spacing w:before="120" w:after="120" w:line="360" w:lineRule="auto"/>
      <w:outlineLvl w:val="1"/>
    </w:pPr>
    <w:rPr>
      <w:rFonts w:ascii="Arial" w:eastAsiaTheme="majorEastAsia" w:hAnsi="Arial" w:cstheme="majorBidi"/>
      <w:b/>
      <w:color w:val="1F3864" w:themeColor="accent1" w:themeShade="80"/>
      <w:sz w:val="30"/>
      <w:szCs w:val="26"/>
    </w:rPr>
  </w:style>
  <w:style w:type="paragraph" w:styleId="Heading3">
    <w:name w:val="heading 3"/>
    <w:aliases w:val="Heading 3 Thesis subheading"/>
    <w:basedOn w:val="Normal"/>
    <w:next w:val="Normal"/>
    <w:link w:val="Heading3Char"/>
    <w:uiPriority w:val="9"/>
    <w:unhideWhenUsed/>
    <w:qFormat/>
    <w:rsid w:val="001C76E9"/>
    <w:pPr>
      <w:keepNext/>
      <w:keepLines/>
      <w:numPr>
        <w:ilvl w:val="2"/>
        <w:numId w:val="8"/>
      </w:numPr>
      <w:spacing w:before="240" w:after="240" w:line="360" w:lineRule="auto"/>
      <w:outlineLvl w:val="2"/>
    </w:pPr>
    <w:rPr>
      <w:rFonts w:ascii="Arial" w:eastAsiaTheme="majorEastAsia" w:hAnsi="Arial" w:cstheme="majorBidi"/>
      <w:b/>
      <w:color w:val="2F5496" w:themeColor="accent1" w:themeShade="BF"/>
    </w:rPr>
  </w:style>
  <w:style w:type="paragraph" w:styleId="Heading4">
    <w:name w:val="heading 4"/>
    <w:basedOn w:val="Normal"/>
    <w:next w:val="Normal"/>
    <w:link w:val="Heading4Char"/>
    <w:uiPriority w:val="9"/>
    <w:semiHidden/>
    <w:unhideWhenUsed/>
    <w:qFormat/>
    <w:rsid w:val="001C76E9"/>
    <w:pPr>
      <w:keepNext/>
      <w:keepLines/>
      <w:numPr>
        <w:ilvl w:val="3"/>
        <w:numId w:val="8"/>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1C76E9"/>
    <w:pPr>
      <w:keepNext/>
      <w:keepLines/>
      <w:numPr>
        <w:numId w:val="8"/>
      </w:numPr>
      <w:spacing w:before="240"/>
      <w:outlineLvl w:val="4"/>
    </w:pPr>
    <w:rPr>
      <w:rFonts w:ascii="Arial" w:eastAsiaTheme="majorEastAsia" w:hAnsi="Arial" w:cstheme="majorBidi"/>
      <w:color w:val="000000" w:themeColor="text1"/>
      <w:sz w:val="48"/>
    </w:rPr>
  </w:style>
  <w:style w:type="paragraph" w:styleId="Heading6">
    <w:name w:val="heading 6"/>
    <w:basedOn w:val="Normal"/>
    <w:next w:val="Normal"/>
    <w:link w:val="Heading6Char"/>
    <w:uiPriority w:val="9"/>
    <w:semiHidden/>
    <w:unhideWhenUsed/>
    <w:qFormat/>
    <w:rsid w:val="001C76E9"/>
    <w:pPr>
      <w:keepNext/>
      <w:keepLines/>
      <w:numPr>
        <w:ilvl w:val="5"/>
        <w:numId w:val="8"/>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C76E9"/>
    <w:pPr>
      <w:keepNext/>
      <w:keepLines/>
      <w:numPr>
        <w:ilvl w:val="6"/>
        <w:numId w:val="8"/>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C76E9"/>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C76E9"/>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1C76E9"/>
    <w:rPr>
      <w:rFonts w:ascii="Arial" w:hAnsi="Arial"/>
      <w:b/>
      <w:bCs/>
      <w:smallCaps/>
      <w:color w:val="2F5496" w:themeColor="accent1" w:themeShade="BF"/>
      <w:spacing w:val="5"/>
      <w:sz w:val="24"/>
    </w:rPr>
  </w:style>
  <w:style w:type="character" w:customStyle="1" w:styleId="Heading2Char">
    <w:name w:val="Heading 2 Char"/>
    <w:aliases w:val="Chapter heading Char"/>
    <w:basedOn w:val="DefaultParagraphFont"/>
    <w:link w:val="Heading2"/>
    <w:uiPriority w:val="9"/>
    <w:rsid w:val="001C76E9"/>
    <w:rPr>
      <w:rFonts w:ascii="Arial" w:eastAsiaTheme="majorEastAsia" w:hAnsi="Arial" w:cstheme="majorBidi"/>
      <w:b/>
      <w:color w:val="1F3864" w:themeColor="accent1" w:themeShade="80"/>
      <w:sz w:val="30"/>
      <w:szCs w:val="26"/>
    </w:rPr>
  </w:style>
  <w:style w:type="character" w:customStyle="1" w:styleId="a">
    <w:name w:val="_"/>
    <w:basedOn w:val="DefaultParagraphFont"/>
    <w:rsid w:val="003C389B"/>
  </w:style>
  <w:style w:type="character" w:customStyle="1" w:styleId="apple-converted-space">
    <w:name w:val="apple-converted-space"/>
    <w:basedOn w:val="DefaultParagraphFont"/>
    <w:rsid w:val="001C76E9"/>
  </w:style>
  <w:style w:type="character" w:customStyle="1" w:styleId="author-ref">
    <w:name w:val="author-ref"/>
    <w:basedOn w:val="DefaultParagraphFont"/>
    <w:rsid w:val="001C76E9"/>
  </w:style>
  <w:style w:type="paragraph" w:styleId="BalloonText">
    <w:name w:val="Balloon Text"/>
    <w:basedOn w:val="Normal"/>
    <w:link w:val="BalloonTextChar"/>
    <w:uiPriority w:val="99"/>
    <w:semiHidden/>
    <w:unhideWhenUsed/>
    <w:rsid w:val="001C76E9"/>
    <w:rPr>
      <w:rFonts w:eastAsiaTheme="minorHAnsi"/>
      <w:sz w:val="18"/>
      <w:szCs w:val="18"/>
    </w:rPr>
  </w:style>
  <w:style w:type="character" w:customStyle="1" w:styleId="BalloonTextChar">
    <w:name w:val="Balloon Text Char"/>
    <w:basedOn w:val="DefaultParagraphFont"/>
    <w:link w:val="BalloonText"/>
    <w:uiPriority w:val="99"/>
    <w:semiHidden/>
    <w:rsid w:val="001C76E9"/>
    <w:rPr>
      <w:rFonts w:ascii="Times New Roman" w:hAnsi="Times New Roman" w:cs="Times New Roman"/>
      <w:sz w:val="18"/>
      <w:szCs w:val="18"/>
    </w:rPr>
  </w:style>
  <w:style w:type="paragraph" w:customStyle="1" w:styleId="Body">
    <w:name w:val="Body"/>
    <w:rsid w:val="001C76E9"/>
    <w:pPr>
      <w:pBdr>
        <w:top w:val="nil"/>
        <w:left w:val="nil"/>
        <w:bottom w:val="nil"/>
        <w:right w:val="nil"/>
        <w:between w:val="nil"/>
        <w:bar w:val="nil"/>
      </w:pBdr>
    </w:pPr>
    <w:rPr>
      <w:rFonts w:ascii="Times New Roman" w:eastAsia="Arial Unicode MS" w:hAnsi="Times New Roman" w:cs="Arial Unicode MS"/>
      <w:color w:val="000000"/>
      <w:u w:color="000000"/>
      <w:bdr w:val="nil"/>
      <w:lang w:val="en-US"/>
    </w:rPr>
  </w:style>
  <w:style w:type="paragraph" w:styleId="Caption">
    <w:name w:val="caption"/>
    <w:basedOn w:val="Normal"/>
    <w:next w:val="Normal"/>
    <w:uiPriority w:val="35"/>
    <w:unhideWhenUsed/>
    <w:qFormat/>
    <w:rsid w:val="001C76E9"/>
    <w:pPr>
      <w:spacing w:after="200"/>
    </w:pPr>
    <w:rPr>
      <w:rFonts w:ascii="Arial" w:eastAsiaTheme="minorHAnsi" w:hAnsi="Arial" w:cstheme="minorBidi"/>
      <w:i/>
      <w:iCs/>
      <w:color w:val="2F5496" w:themeColor="accent1" w:themeShade="BF"/>
      <w:sz w:val="18"/>
      <w:szCs w:val="18"/>
    </w:rPr>
  </w:style>
  <w:style w:type="character" w:customStyle="1" w:styleId="cit">
    <w:name w:val="cit"/>
    <w:basedOn w:val="DefaultParagraphFont"/>
    <w:rsid w:val="001C76E9"/>
  </w:style>
  <w:style w:type="character" w:customStyle="1" w:styleId="citation">
    <w:name w:val="citation"/>
    <w:basedOn w:val="DefaultParagraphFont"/>
    <w:rsid w:val="001C76E9"/>
  </w:style>
  <w:style w:type="character" w:styleId="CommentReference">
    <w:name w:val="annotation reference"/>
    <w:basedOn w:val="DefaultParagraphFont"/>
    <w:uiPriority w:val="99"/>
    <w:semiHidden/>
    <w:unhideWhenUsed/>
    <w:rsid w:val="001C76E9"/>
    <w:rPr>
      <w:sz w:val="16"/>
      <w:szCs w:val="16"/>
    </w:rPr>
  </w:style>
  <w:style w:type="paragraph" w:styleId="CommentText">
    <w:name w:val="annotation text"/>
    <w:basedOn w:val="Normal"/>
    <w:link w:val="CommentTextChar"/>
    <w:uiPriority w:val="99"/>
    <w:unhideWhenUsed/>
    <w:rsid w:val="001C76E9"/>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1C76E9"/>
    <w:rPr>
      <w:sz w:val="20"/>
      <w:szCs w:val="20"/>
    </w:rPr>
  </w:style>
  <w:style w:type="paragraph" w:styleId="CommentSubject">
    <w:name w:val="annotation subject"/>
    <w:basedOn w:val="CommentText"/>
    <w:next w:val="CommentText"/>
    <w:link w:val="CommentSubjectChar"/>
    <w:uiPriority w:val="99"/>
    <w:semiHidden/>
    <w:unhideWhenUsed/>
    <w:rsid w:val="001C76E9"/>
    <w:rPr>
      <w:b/>
      <w:bCs/>
    </w:rPr>
  </w:style>
  <w:style w:type="character" w:customStyle="1" w:styleId="CommentSubjectChar">
    <w:name w:val="Comment Subject Char"/>
    <w:basedOn w:val="CommentTextChar"/>
    <w:link w:val="CommentSubject"/>
    <w:uiPriority w:val="99"/>
    <w:semiHidden/>
    <w:rsid w:val="001C76E9"/>
    <w:rPr>
      <w:b/>
      <w:bCs/>
      <w:sz w:val="20"/>
      <w:szCs w:val="20"/>
    </w:rPr>
  </w:style>
  <w:style w:type="character" w:customStyle="1" w:styleId="current-selection">
    <w:name w:val="current-selection"/>
    <w:basedOn w:val="DefaultParagraphFont"/>
    <w:rsid w:val="001C76E9"/>
  </w:style>
  <w:style w:type="character" w:customStyle="1" w:styleId="custom-">
    <w:name w:val="custom-"/>
    <w:basedOn w:val="DefaultParagraphFont"/>
    <w:rsid w:val="001C76E9"/>
  </w:style>
  <w:style w:type="paragraph" w:customStyle="1" w:styleId="Default">
    <w:name w:val="Default"/>
    <w:rsid w:val="001C76E9"/>
    <w:pPr>
      <w:autoSpaceDE w:val="0"/>
      <w:autoSpaceDN w:val="0"/>
      <w:adjustRightInd w:val="0"/>
    </w:pPr>
    <w:rPr>
      <w:rFonts w:ascii="Times New Roman" w:hAnsi="Times New Roman" w:cs="Times New Roman"/>
      <w:color w:val="000000"/>
      <w:lang w:val="en-US"/>
    </w:rPr>
  </w:style>
  <w:style w:type="character" w:customStyle="1" w:styleId="doi">
    <w:name w:val="doi"/>
    <w:basedOn w:val="DefaultParagraphFont"/>
    <w:rsid w:val="001C76E9"/>
  </w:style>
  <w:style w:type="character" w:customStyle="1" w:styleId="ej-keyword">
    <w:name w:val="ej-keyword"/>
    <w:basedOn w:val="DefaultParagraphFont"/>
    <w:rsid w:val="001C76E9"/>
  </w:style>
  <w:style w:type="character" w:styleId="Emphasis">
    <w:name w:val="Emphasis"/>
    <w:basedOn w:val="DefaultParagraphFont"/>
    <w:uiPriority w:val="20"/>
    <w:qFormat/>
    <w:rsid w:val="001C76E9"/>
    <w:rPr>
      <w:i/>
      <w:iCs/>
    </w:rPr>
  </w:style>
  <w:style w:type="paragraph" w:customStyle="1" w:styleId="EndNoteBibliography">
    <w:name w:val="EndNote Bibliography"/>
    <w:basedOn w:val="Normal"/>
    <w:link w:val="EndNoteBibliographyChar"/>
    <w:rsid w:val="001C76E9"/>
    <w:rPr>
      <w:lang w:val="en-US"/>
    </w:rPr>
  </w:style>
  <w:style w:type="character" w:customStyle="1" w:styleId="EndNoteBibliographyChar">
    <w:name w:val="EndNote Bibliography Char"/>
    <w:basedOn w:val="DefaultParagraphFont"/>
    <w:link w:val="EndNoteBibliography"/>
    <w:rsid w:val="001C76E9"/>
    <w:rPr>
      <w:rFonts w:ascii="Times New Roman" w:eastAsia="Times New Roman" w:hAnsi="Times New Roman" w:cs="Times New Roman"/>
      <w:lang w:val="en-US"/>
    </w:rPr>
  </w:style>
  <w:style w:type="paragraph" w:customStyle="1" w:styleId="EndNoteBibliographyTitle">
    <w:name w:val="EndNote Bibliography Title"/>
    <w:basedOn w:val="Normal"/>
    <w:link w:val="EndNoteBibliographyTitleChar"/>
    <w:rsid w:val="001C76E9"/>
    <w:pPr>
      <w:jc w:val="center"/>
    </w:pPr>
    <w:rPr>
      <w:lang w:val="en-US"/>
    </w:rPr>
  </w:style>
  <w:style w:type="character" w:customStyle="1" w:styleId="EndNoteBibliographyTitleChar">
    <w:name w:val="EndNote Bibliography Title Char"/>
    <w:basedOn w:val="DefaultParagraphFont"/>
    <w:link w:val="EndNoteBibliographyTitle"/>
    <w:rsid w:val="001C76E9"/>
    <w:rPr>
      <w:rFonts w:ascii="Times New Roman" w:eastAsia="Times New Roman" w:hAnsi="Times New Roman" w:cs="Times New Roman"/>
      <w:lang w:val="en-US"/>
    </w:rPr>
  </w:style>
  <w:style w:type="character" w:customStyle="1" w:styleId="ff1">
    <w:name w:val="ff1"/>
    <w:basedOn w:val="DefaultParagraphFont"/>
    <w:rsid w:val="001C76E9"/>
  </w:style>
  <w:style w:type="character" w:customStyle="1" w:styleId="ff10">
    <w:name w:val="ff10"/>
    <w:basedOn w:val="DefaultParagraphFont"/>
    <w:rsid w:val="001C76E9"/>
  </w:style>
  <w:style w:type="character" w:customStyle="1" w:styleId="fm-citation-ids-label">
    <w:name w:val="fm-citation-ids-label"/>
    <w:basedOn w:val="DefaultParagraphFont"/>
    <w:rsid w:val="001C76E9"/>
  </w:style>
  <w:style w:type="character" w:customStyle="1" w:styleId="fm-vol-iss-date">
    <w:name w:val="fm-vol-iss-date"/>
    <w:basedOn w:val="DefaultParagraphFont"/>
    <w:rsid w:val="001C76E9"/>
  </w:style>
  <w:style w:type="character" w:styleId="FollowedHyperlink">
    <w:name w:val="FollowedHyperlink"/>
    <w:basedOn w:val="DefaultParagraphFont"/>
    <w:uiPriority w:val="99"/>
    <w:semiHidden/>
    <w:unhideWhenUsed/>
    <w:rsid w:val="001C76E9"/>
    <w:rPr>
      <w:color w:val="954F72" w:themeColor="followedHyperlink"/>
      <w:u w:val="single"/>
    </w:rPr>
  </w:style>
  <w:style w:type="paragraph" w:styleId="Footer">
    <w:name w:val="footer"/>
    <w:basedOn w:val="Normal"/>
    <w:link w:val="FooterChar"/>
    <w:uiPriority w:val="99"/>
    <w:unhideWhenUsed/>
    <w:rsid w:val="001C76E9"/>
    <w:pPr>
      <w:tabs>
        <w:tab w:val="center" w:pos="4680"/>
        <w:tab w:val="right" w:pos="9360"/>
      </w:tabs>
    </w:pPr>
  </w:style>
  <w:style w:type="character" w:customStyle="1" w:styleId="FooterChar">
    <w:name w:val="Footer Char"/>
    <w:basedOn w:val="DefaultParagraphFont"/>
    <w:link w:val="Footer"/>
    <w:uiPriority w:val="99"/>
    <w:rsid w:val="001C76E9"/>
    <w:rPr>
      <w:rFonts w:ascii="Times New Roman" w:eastAsia="Times New Roman" w:hAnsi="Times New Roman" w:cs="Times New Roman"/>
    </w:rPr>
  </w:style>
  <w:style w:type="paragraph" w:styleId="Header">
    <w:name w:val="header"/>
    <w:basedOn w:val="Normal"/>
    <w:link w:val="HeaderChar"/>
    <w:uiPriority w:val="99"/>
    <w:unhideWhenUsed/>
    <w:rsid w:val="001C76E9"/>
    <w:pPr>
      <w:tabs>
        <w:tab w:val="center" w:pos="4680"/>
        <w:tab w:val="right" w:pos="9360"/>
      </w:tabs>
    </w:pPr>
  </w:style>
  <w:style w:type="character" w:customStyle="1" w:styleId="HeaderChar">
    <w:name w:val="Header Char"/>
    <w:basedOn w:val="DefaultParagraphFont"/>
    <w:link w:val="Header"/>
    <w:uiPriority w:val="99"/>
    <w:rsid w:val="001C76E9"/>
    <w:rPr>
      <w:rFonts w:ascii="Times New Roman" w:eastAsia="Times New Roman" w:hAnsi="Times New Roman" w:cs="Times New Roman"/>
    </w:rPr>
  </w:style>
  <w:style w:type="character" w:customStyle="1" w:styleId="Heading1Char">
    <w:name w:val="Heading 1 Char"/>
    <w:aliases w:val="Thesis Section Heading Char"/>
    <w:basedOn w:val="DefaultParagraphFont"/>
    <w:link w:val="Heading1"/>
    <w:uiPriority w:val="9"/>
    <w:rsid w:val="001C76E9"/>
    <w:rPr>
      <w:rFonts w:ascii="Arial" w:eastAsia="Times New Roman" w:hAnsi="Arial" w:cs="Times New Roman"/>
      <w:b/>
      <w:bCs/>
      <w:color w:val="1F3864" w:themeColor="accent1" w:themeShade="80"/>
      <w:kern w:val="36"/>
      <w:sz w:val="26"/>
      <w:szCs w:val="48"/>
    </w:rPr>
  </w:style>
  <w:style w:type="character" w:customStyle="1" w:styleId="Heading3Char">
    <w:name w:val="Heading 3 Char"/>
    <w:aliases w:val="Heading 3 Thesis subheading Char"/>
    <w:basedOn w:val="DefaultParagraphFont"/>
    <w:link w:val="Heading3"/>
    <w:uiPriority w:val="9"/>
    <w:rsid w:val="001C76E9"/>
    <w:rPr>
      <w:rFonts w:ascii="Arial" w:eastAsiaTheme="majorEastAsia" w:hAnsi="Arial" w:cstheme="majorBidi"/>
      <w:b/>
      <w:color w:val="2F5496" w:themeColor="accent1" w:themeShade="BF"/>
    </w:rPr>
  </w:style>
  <w:style w:type="character" w:customStyle="1" w:styleId="Heading4Char">
    <w:name w:val="Heading 4 Char"/>
    <w:basedOn w:val="DefaultParagraphFont"/>
    <w:link w:val="Heading4"/>
    <w:uiPriority w:val="9"/>
    <w:semiHidden/>
    <w:rsid w:val="001C76E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C76E9"/>
    <w:rPr>
      <w:rFonts w:ascii="Arial" w:eastAsiaTheme="majorEastAsia" w:hAnsi="Arial" w:cstheme="majorBidi"/>
      <w:color w:val="000000" w:themeColor="text1"/>
      <w:sz w:val="48"/>
    </w:rPr>
  </w:style>
  <w:style w:type="character" w:customStyle="1" w:styleId="Heading6Char">
    <w:name w:val="Heading 6 Char"/>
    <w:basedOn w:val="DefaultParagraphFont"/>
    <w:link w:val="Heading6"/>
    <w:uiPriority w:val="9"/>
    <w:semiHidden/>
    <w:rsid w:val="001C76E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C76E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C76E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C76E9"/>
    <w:rPr>
      <w:rFonts w:asciiTheme="majorHAnsi" w:eastAsiaTheme="majorEastAsia" w:hAnsiTheme="majorHAnsi" w:cstheme="majorBidi"/>
      <w:i/>
      <w:iCs/>
      <w:color w:val="272727" w:themeColor="text1" w:themeTint="D8"/>
      <w:sz w:val="21"/>
      <w:szCs w:val="21"/>
    </w:rPr>
  </w:style>
  <w:style w:type="character" w:customStyle="1" w:styleId="highlight">
    <w:name w:val="highlight"/>
    <w:basedOn w:val="DefaultParagraphFont"/>
    <w:rsid w:val="001C76E9"/>
  </w:style>
  <w:style w:type="character" w:styleId="Hyperlink">
    <w:name w:val="Hyperlink"/>
    <w:basedOn w:val="DefaultParagraphFont"/>
    <w:uiPriority w:val="99"/>
    <w:unhideWhenUsed/>
    <w:rsid w:val="001C76E9"/>
    <w:rPr>
      <w:color w:val="0000FF"/>
      <w:u w:val="single"/>
    </w:rPr>
  </w:style>
  <w:style w:type="character" w:customStyle="1" w:styleId="Hyperlink0">
    <w:name w:val="Hyperlink.0"/>
    <w:basedOn w:val="DefaultParagraphFont"/>
    <w:rsid w:val="001C76E9"/>
    <w:rPr>
      <w:rFonts w:ascii="Arial" w:eastAsia="Arial" w:hAnsi="Arial" w:cs="Arial"/>
      <w:sz w:val="20"/>
      <w:szCs w:val="20"/>
    </w:rPr>
  </w:style>
  <w:style w:type="paragraph" w:styleId="Index1">
    <w:name w:val="index 1"/>
    <w:basedOn w:val="Normal"/>
    <w:next w:val="Normal"/>
    <w:autoRedefine/>
    <w:uiPriority w:val="99"/>
    <w:semiHidden/>
    <w:unhideWhenUsed/>
    <w:rsid w:val="001C76E9"/>
    <w:pPr>
      <w:ind w:left="240" w:hanging="240"/>
    </w:pPr>
  </w:style>
  <w:style w:type="paragraph" w:styleId="ListParagraph">
    <w:name w:val="List Paragraph"/>
    <w:basedOn w:val="Normal"/>
    <w:uiPriority w:val="34"/>
    <w:qFormat/>
    <w:rsid w:val="001C76E9"/>
    <w:pPr>
      <w:spacing w:before="100" w:beforeAutospacing="1" w:after="100" w:afterAutospacing="1"/>
    </w:pPr>
  </w:style>
  <w:style w:type="character" w:customStyle="1" w:styleId="moreauthors">
    <w:name w:val="moreauthors"/>
    <w:basedOn w:val="DefaultParagraphFont"/>
    <w:rsid w:val="001C76E9"/>
  </w:style>
  <w:style w:type="paragraph" w:styleId="NoSpacing">
    <w:name w:val="No Spacing"/>
    <w:uiPriority w:val="1"/>
    <w:qFormat/>
    <w:rsid w:val="001C76E9"/>
    <w:rPr>
      <w:rFonts w:ascii="Times New Roman" w:hAnsi="Times New Roman" w:cs="Times New Roman"/>
    </w:rPr>
  </w:style>
  <w:style w:type="character" w:customStyle="1" w:styleId="None">
    <w:name w:val="None"/>
    <w:rsid w:val="001C76E9"/>
  </w:style>
  <w:style w:type="paragraph" w:styleId="NormalWeb">
    <w:name w:val="Normal (Web)"/>
    <w:basedOn w:val="Normal"/>
    <w:uiPriority w:val="99"/>
    <w:unhideWhenUsed/>
    <w:rsid w:val="001C76E9"/>
    <w:pPr>
      <w:spacing w:before="100" w:beforeAutospacing="1" w:after="100" w:afterAutospacing="1"/>
    </w:pPr>
  </w:style>
  <w:style w:type="paragraph" w:customStyle="1" w:styleId="NormalThesis">
    <w:name w:val="Normal Thesis"/>
    <w:basedOn w:val="Normal"/>
    <w:qFormat/>
    <w:rsid w:val="001C76E9"/>
    <w:pPr>
      <w:spacing w:before="480" w:after="320" w:line="480" w:lineRule="auto"/>
      <w:jc w:val="both"/>
    </w:pPr>
    <w:rPr>
      <w:rFonts w:ascii="Arial" w:hAnsi="Arial" w:cs="Arial"/>
    </w:rPr>
  </w:style>
  <w:style w:type="character" w:customStyle="1" w:styleId="nowrap">
    <w:name w:val="nowrap"/>
    <w:basedOn w:val="DefaultParagraphFont"/>
    <w:rsid w:val="001C76E9"/>
  </w:style>
  <w:style w:type="character" w:styleId="PageNumber">
    <w:name w:val="page number"/>
    <w:basedOn w:val="DefaultParagraphFont"/>
    <w:uiPriority w:val="99"/>
    <w:semiHidden/>
    <w:unhideWhenUsed/>
    <w:rsid w:val="001C76E9"/>
  </w:style>
  <w:style w:type="paragraph" w:customStyle="1" w:styleId="pull-left">
    <w:name w:val="pull-left"/>
    <w:basedOn w:val="Normal"/>
    <w:rsid w:val="001C76E9"/>
    <w:pPr>
      <w:spacing w:before="100" w:beforeAutospacing="1" w:after="100" w:afterAutospacing="1"/>
    </w:pPr>
  </w:style>
  <w:style w:type="character" w:customStyle="1" w:styleId="ref-journal">
    <w:name w:val="ref-journal"/>
    <w:basedOn w:val="DefaultParagraphFont"/>
    <w:qFormat/>
    <w:rsid w:val="001C76E9"/>
    <w:rPr>
      <w:rFonts w:ascii="Arial" w:hAnsi="Arial"/>
      <w:sz w:val="16"/>
    </w:rPr>
  </w:style>
  <w:style w:type="character" w:customStyle="1" w:styleId="ref-vol">
    <w:name w:val="ref-vol"/>
    <w:basedOn w:val="DefaultParagraphFont"/>
    <w:rsid w:val="001C76E9"/>
  </w:style>
  <w:style w:type="character" w:styleId="Strong">
    <w:name w:val="Strong"/>
    <w:basedOn w:val="DefaultParagraphFont"/>
    <w:uiPriority w:val="22"/>
    <w:qFormat/>
    <w:rsid w:val="001C76E9"/>
    <w:rPr>
      <w:b/>
      <w:bCs/>
    </w:rPr>
  </w:style>
  <w:style w:type="table" w:styleId="TableGrid">
    <w:name w:val="Table Grid"/>
    <w:basedOn w:val="TableNormal"/>
    <w:uiPriority w:val="39"/>
    <w:rsid w:val="001C76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1C76E9"/>
  </w:style>
  <w:style w:type="character" w:customStyle="1" w:styleId="text">
    <w:name w:val="text"/>
    <w:basedOn w:val="DefaultParagraphFont"/>
    <w:rsid w:val="001C76E9"/>
  </w:style>
  <w:style w:type="paragraph" w:styleId="Title">
    <w:name w:val="Title"/>
    <w:aliases w:val="MainChapter title"/>
    <w:basedOn w:val="Normal"/>
    <w:next w:val="Normal"/>
    <w:link w:val="TitleChar"/>
    <w:uiPriority w:val="10"/>
    <w:qFormat/>
    <w:rsid w:val="001C76E9"/>
    <w:pPr>
      <w:spacing w:before="240" w:after="480" w:line="480" w:lineRule="auto"/>
      <w:contextualSpacing/>
    </w:pPr>
    <w:rPr>
      <w:rFonts w:ascii="Arial" w:eastAsiaTheme="majorEastAsia" w:hAnsi="Arial" w:cstheme="majorBidi"/>
      <w:spacing w:val="-10"/>
      <w:kern w:val="28"/>
      <w:sz w:val="56"/>
      <w:szCs w:val="56"/>
    </w:rPr>
  </w:style>
  <w:style w:type="character" w:customStyle="1" w:styleId="TitleChar">
    <w:name w:val="Title Char"/>
    <w:aliases w:val="MainChapter title Char"/>
    <w:basedOn w:val="DefaultParagraphFont"/>
    <w:link w:val="Title"/>
    <w:uiPriority w:val="10"/>
    <w:rsid w:val="001C76E9"/>
    <w:rPr>
      <w:rFonts w:ascii="Arial" w:eastAsiaTheme="majorEastAsia" w:hAnsi="Arial" w:cstheme="majorBidi"/>
      <w:spacing w:val="-10"/>
      <w:kern w:val="28"/>
      <w:sz w:val="56"/>
      <w:szCs w:val="56"/>
    </w:rPr>
  </w:style>
  <w:style w:type="paragraph" w:styleId="TOC1">
    <w:name w:val="toc 1"/>
    <w:basedOn w:val="Normal"/>
    <w:next w:val="Normal"/>
    <w:autoRedefine/>
    <w:uiPriority w:val="39"/>
    <w:unhideWhenUsed/>
    <w:rsid w:val="001C76E9"/>
    <w:pPr>
      <w:spacing w:before="200"/>
    </w:pPr>
    <w:rPr>
      <w:rFonts w:ascii="Arial" w:hAnsi="Arial" w:cs="Calibri Light (Headings)"/>
      <w:bCs/>
      <w:color w:val="0D0D0D" w:themeColor="text1" w:themeTint="F2"/>
      <w:sz w:val="28"/>
    </w:rPr>
  </w:style>
  <w:style w:type="paragraph" w:styleId="TOC2">
    <w:name w:val="toc 2"/>
    <w:basedOn w:val="Normal"/>
    <w:next w:val="Normal"/>
    <w:autoRedefine/>
    <w:uiPriority w:val="39"/>
    <w:unhideWhenUsed/>
    <w:rsid w:val="001C76E9"/>
    <w:pPr>
      <w:spacing w:before="100"/>
    </w:pPr>
    <w:rPr>
      <w:rFonts w:ascii="Arial" w:hAnsi="Arial" w:cstheme="minorHAnsi"/>
      <w:bCs/>
      <w:color w:val="2F5496" w:themeColor="accent1" w:themeShade="BF"/>
      <w:sz w:val="22"/>
      <w:szCs w:val="20"/>
    </w:rPr>
  </w:style>
  <w:style w:type="paragraph" w:styleId="TOC3">
    <w:name w:val="toc 3"/>
    <w:basedOn w:val="Normal"/>
    <w:next w:val="Normal"/>
    <w:autoRedefine/>
    <w:uiPriority w:val="39"/>
    <w:unhideWhenUsed/>
    <w:rsid w:val="001C76E9"/>
    <w:pPr>
      <w:tabs>
        <w:tab w:val="right" w:leader="dot" w:pos="9010"/>
      </w:tabs>
      <w:ind w:left="284"/>
    </w:pPr>
    <w:rPr>
      <w:rFonts w:ascii="Arial" w:hAnsi="Arial" w:cstheme="minorHAnsi"/>
      <w:color w:val="000000" w:themeColor="text1"/>
      <w:sz w:val="20"/>
      <w:szCs w:val="20"/>
    </w:rPr>
  </w:style>
  <w:style w:type="paragraph" w:styleId="TOC4">
    <w:name w:val="toc 4"/>
    <w:basedOn w:val="Normal"/>
    <w:next w:val="Normal"/>
    <w:autoRedefine/>
    <w:uiPriority w:val="39"/>
    <w:unhideWhenUsed/>
    <w:rsid w:val="001C76E9"/>
    <w:pPr>
      <w:ind w:left="567"/>
    </w:pPr>
    <w:rPr>
      <w:rFonts w:ascii="Arial" w:hAnsi="Arial" w:cstheme="minorHAnsi"/>
      <w:color w:val="2F5496" w:themeColor="accent1" w:themeShade="BF"/>
      <w:sz w:val="20"/>
      <w:szCs w:val="20"/>
    </w:rPr>
  </w:style>
  <w:style w:type="paragraph" w:styleId="TOC5">
    <w:name w:val="toc 5"/>
    <w:basedOn w:val="Normal"/>
    <w:next w:val="Normal"/>
    <w:autoRedefine/>
    <w:uiPriority w:val="39"/>
    <w:unhideWhenUsed/>
    <w:rsid w:val="001C76E9"/>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1C76E9"/>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1C76E9"/>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1C76E9"/>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1C76E9"/>
    <w:pPr>
      <w:ind w:left="1680"/>
    </w:pPr>
    <w:rPr>
      <w:rFonts w:asciiTheme="minorHAnsi" w:hAnsiTheme="minorHAnsi" w:cstheme="minorHAnsi"/>
      <w:sz w:val="20"/>
      <w:szCs w:val="20"/>
    </w:rPr>
  </w:style>
  <w:style w:type="character" w:styleId="UnresolvedMention">
    <w:name w:val="Unresolved Mention"/>
    <w:basedOn w:val="DefaultParagraphFont"/>
    <w:uiPriority w:val="99"/>
    <w:rsid w:val="001C76E9"/>
    <w:rPr>
      <w:color w:val="605E5C"/>
      <w:shd w:val="clear" w:color="auto" w:fill="E1DFDD"/>
    </w:rPr>
  </w:style>
  <w:style w:type="character" w:customStyle="1" w:styleId="cit-auth">
    <w:name w:val="cit-auth"/>
    <w:basedOn w:val="DefaultParagraphFont"/>
    <w:rsid w:val="00A34E8D"/>
  </w:style>
  <w:style w:type="character" w:customStyle="1" w:styleId="cit-name-surname">
    <w:name w:val="cit-name-surname"/>
    <w:basedOn w:val="DefaultParagraphFont"/>
    <w:rsid w:val="00A34E8D"/>
  </w:style>
  <w:style w:type="character" w:customStyle="1" w:styleId="cit-name-given-names">
    <w:name w:val="cit-name-given-names"/>
    <w:basedOn w:val="DefaultParagraphFont"/>
    <w:rsid w:val="00A34E8D"/>
  </w:style>
  <w:style w:type="character" w:customStyle="1" w:styleId="cit-etal">
    <w:name w:val="cit-etal"/>
    <w:basedOn w:val="DefaultParagraphFont"/>
    <w:rsid w:val="00A34E8D"/>
  </w:style>
  <w:style w:type="character" w:styleId="HTMLCite">
    <w:name w:val="HTML Cite"/>
    <w:basedOn w:val="DefaultParagraphFont"/>
    <w:uiPriority w:val="99"/>
    <w:semiHidden/>
    <w:unhideWhenUsed/>
    <w:rsid w:val="00A34E8D"/>
    <w:rPr>
      <w:i/>
      <w:iCs/>
    </w:rPr>
  </w:style>
  <w:style w:type="character" w:customStyle="1" w:styleId="cit-article-title">
    <w:name w:val="cit-article-title"/>
    <w:basedOn w:val="DefaultParagraphFont"/>
    <w:rsid w:val="00A34E8D"/>
  </w:style>
  <w:style w:type="character" w:customStyle="1" w:styleId="cit-pub-date">
    <w:name w:val="cit-pub-date"/>
    <w:basedOn w:val="DefaultParagraphFont"/>
    <w:rsid w:val="00A34E8D"/>
  </w:style>
  <w:style w:type="character" w:customStyle="1" w:styleId="cit-vol">
    <w:name w:val="cit-vol"/>
    <w:basedOn w:val="DefaultParagraphFont"/>
    <w:rsid w:val="00A34E8D"/>
  </w:style>
  <w:style w:type="character" w:customStyle="1" w:styleId="cit-fpage">
    <w:name w:val="cit-fpage"/>
    <w:basedOn w:val="DefaultParagraphFont"/>
    <w:rsid w:val="00A34E8D"/>
  </w:style>
  <w:style w:type="character" w:customStyle="1" w:styleId="cit-lpage">
    <w:name w:val="cit-lpage"/>
    <w:basedOn w:val="DefaultParagraphFont"/>
    <w:rsid w:val="00A34E8D"/>
  </w:style>
  <w:style w:type="paragraph" w:customStyle="1" w:styleId="product-title">
    <w:name w:val="product-title"/>
    <w:basedOn w:val="Normal"/>
    <w:rsid w:val="00A34E8D"/>
    <w:pPr>
      <w:spacing w:before="100" w:beforeAutospacing="1" w:after="100" w:afterAutospacing="1"/>
    </w:pPr>
    <w:rPr>
      <w:lang w:eastAsia="en-GB"/>
    </w:rPr>
  </w:style>
  <w:style w:type="character" w:customStyle="1" w:styleId="prod-title">
    <w:name w:val="prod-title"/>
    <w:basedOn w:val="DefaultParagraphFont"/>
    <w:rsid w:val="00A34E8D"/>
  </w:style>
  <w:style w:type="character" w:customStyle="1" w:styleId="published-date">
    <w:name w:val="published-date"/>
    <w:basedOn w:val="DefaultParagraphFont"/>
    <w:rsid w:val="00A34E8D"/>
  </w:style>
  <w:style w:type="paragraph" w:styleId="Revision">
    <w:name w:val="Revision"/>
    <w:hidden/>
    <w:uiPriority w:val="99"/>
    <w:semiHidden/>
    <w:rsid w:val="00ED0FE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873332">
      <w:bodyDiv w:val="1"/>
      <w:marLeft w:val="0"/>
      <w:marRight w:val="0"/>
      <w:marTop w:val="0"/>
      <w:marBottom w:val="0"/>
      <w:divBdr>
        <w:top w:val="none" w:sz="0" w:space="0" w:color="auto"/>
        <w:left w:val="none" w:sz="0" w:space="0" w:color="auto"/>
        <w:bottom w:val="none" w:sz="0" w:space="0" w:color="auto"/>
        <w:right w:val="none" w:sz="0" w:space="0" w:color="auto"/>
      </w:divBdr>
    </w:div>
    <w:div w:id="329875427">
      <w:bodyDiv w:val="1"/>
      <w:marLeft w:val="0"/>
      <w:marRight w:val="0"/>
      <w:marTop w:val="0"/>
      <w:marBottom w:val="0"/>
      <w:divBdr>
        <w:top w:val="none" w:sz="0" w:space="0" w:color="auto"/>
        <w:left w:val="none" w:sz="0" w:space="0" w:color="auto"/>
        <w:bottom w:val="none" w:sz="0" w:space="0" w:color="auto"/>
        <w:right w:val="none" w:sz="0" w:space="0" w:color="auto"/>
      </w:divBdr>
    </w:div>
    <w:div w:id="668600225">
      <w:bodyDiv w:val="1"/>
      <w:marLeft w:val="0"/>
      <w:marRight w:val="0"/>
      <w:marTop w:val="0"/>
      <w:marBottom w:val="0"/>
      <w:divBdr>
        <w:top w:val="none" w:sz="0" w:space="0" w:color="auto"/>
        <w:left w:val="none" w:sz="0" w:space="0" w:color="auto"/>
        <w:bottom w:val="none" w:sz="0" w:space="0" w:color="auto"/>
        <w:right w:val="none" w:sz="0" w:space="0" w:color="auto"/>
      </w:divBdr>
    </w:div>
    <w:div w:id="684863433">
      <w:bodyDiv w:val="1"/>
      <w:marLeft w:val="0"/>
      <w:marRight w:val="0"/>
      <w:marTop w:val="0"/>
      <w:marBottom w:val="0"/>
      <w:divBdr>
        <w:top w:val="none" w:sz="0" w:space="0" w:color="auto"/>
        <w:left w:val="none" w:sz="0" w:space="0" w:color="auto"/>
        <w:bottom w:val="none" w:sz="0" w:space="0" w:color="auto"/>
        <w:right w:val="none" w:sz="0" w:space="0" w:color="auto"/>
      </w:divBdr>
    </w:div>
    <w:div w:id="856578676">
      <w:bodyDiv w:val="1"/>
      <w:marLeft w:val="0"/>
      <w:marRight w:val="0"/>
      <w:marTop w:val="0"/>
      <w:marBottom w:val="0"/>
      <w:divBdr>
        <w:top w:val="none" w:sz="0" w:space="0" w:color="auto"/>
        <w:left w:val="none" w:sz="0" w:space="0" w:color="auto"/>
        <w:bottom w:val="none" w:sz="0" w:space="0" w:color="auto"/>
        <w:right w:val="none" w:sz="0" w:space="0" w:color="auto"/>
      </w:divBdr>
      <w:divsChild>
        <w:div w:id="1609657800">
          <w:marLeft w:val="0"/>
          <w:marRight w:val="0"/>
          <w:marTop w:val="0"/>
          <w:marBottom w:val="0"/>
          <w:divBdr>
            <w:top w:val="single" w:sz="2" w:space="0" w:color="ECEDEE"/>
            <w:left w:val="single" w:sz="2" w:space="0" w:color="ECEDEE"/>
            <w:bottom w:val="single" w:sz="2" w:space="0" w:color="ECEDEE"/>
            <w:right w:val="single" w:sz="2" w:space="0" w:color="ECEDEE"/>
          </w:divBdr>
          <w:divsChild>
            <w:div w:id="1751074203">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883713799">
      <w:bodyDiv w:val="1"/>
      <w:marLeft w:val="0"/>
      <w:marRight w:val="0"/>
      <w:marTop w:val="0"/>
      <w:marBottom w:val="0"/>
      <w:divBdr>
        <w:top w:val="none" w:sz="0" w:space="0" w:color="auto"/>
        <w:left w:val="none" w:sz="0" w:space="0" w:color="auto"/>
        <w:bottom w:val="none" w:sz="0" w:space="0" w:color="auto"/>
        <w:right w:val="none" w:sz="0" w:space="0" w:color="auto"/>
      </w:divBdr>
      <w:divsChild>
        <w:div w:id="1748959596">
          <w:marLeft w:val="720"/>
          <w:marRight w:val="0"/>
          <w:marTop w:val="91"/>
          <w:marBottom w:val="0"/>
          <w:divBdr>
            <w:top w:val="none" w:sz="0" w:space="0" w:color="auto"/>
            <w:left w:val="none" w:sz="0" w:space="0" w:color="auto"/>
            <w:bottom w:val="none" w:sz="0" w:space="0" w:color="auto"/>
            <w:right w:val="none" w:sz="0" w:space="0" w:color="auto"/>
          </w:divBdr>
        </w:div>
        <w:div w:id="217858268">
          <w:marLeft w:val="720"/>
          <w:marRight w:val="0"/>
          <w:marTop w:val="91"/>
          <w:marBottom w:val="0"/>
          <w:divBdr>
            <w:top w:val="none" w:sz="0" w:space="0" w:color="auto"/>
            <w:left w:val="none" w:sz="0" w:space="0" w:color="auto"/>
            <w:bottom w:val="none" w:sz="0" w:space="0" w:color="auto"/>
            <w:right w:val="none" w:sz="0" w:space="0" w:color="auto"/>
          </w:divBdr>
        </w:div>
        <w:div w:id="1693409086">
          <w:marLeft w:val="720"/>
          <w:marRight w:val="0"/>
          <w:marTop w:val="91"/>
          <w:marBottom w:val="0"/>
          <w:divBdr>
            <w:top w:val="none" w:sz="0" w:space="0" w:color="auto"/>
            <w:left w:val="none" w:sz="0" w:space="0" w:color="auto"/>
            <w:bottom w:val="none" w:sz="0" w:space="0" w:color="auto"/>
            <w:right w:val="none" w:sz="0" w:space="0" w:color="auto"/>
          </w:divBdr>
        </w:div>
        <w:div w:id="1016729809">
          <w:marLeft w:val="720"/>
          <w:marRight w:val="0"/>
          <w:marTop w:val="91"/>
          <w:marBottom w:val="0"/>
          <w:divBdr>
            <w:top w:val="none" w:sz="0" w:space="0" w:color="auto"/>
            <w:left w:val="none" w:sz="0" w:space="0" w:color="auto"/>
            <w:bottom w:val="none" w:sz="0" w:space="0" w:color="auto"/>
            <w:right w:val="none" w:sz="0" w:space="0" w:color="auto"/>
          </w:divBdr>
        </w:div>
        <w:div w:id="1815174148">
          <w:marLeft w:val="720"/>
          <w:marRight w:val="0"/>
          <w:marTop w:val="91"/>
          <w:marBottom w:val="0"/>
          <w:divBdr>
            <w:top w:val="none" w:sz="0" w:space="0" w:color="auto"/>
            <w:left w:val="none" w:sz="0" w:space="0" w:color="auto"/>
            <w:bottom w:val="none" w:sz="0" w:space="0" w:color="auto"/>
            <w:right w:val="none" w:sz="0" w:space="0" w:color="auto"/>
          </w:divBdr>
        </w:div>
      </w:divsChild>
    </w:div>
    <w:div w:id="914777079">
      <w:bodyDiv w:val="1"/>
      <w:marLeft w:val="0"/>
      <w:marRight w:val="0"/>
      <w:marTop w:val="0"/>
      <w:marBottom w:val="0"/>
      <w:divBdr>
        <w:top w:val="none" w:sz="0" w:space="0" w:color="auto"/>
        <w:left w:val="none" w:sz="0" w:space="0" w:color="auto"/>
        <w:bottom w:val="none" w:sz="0" w:space="0" w:color="auto"/>
        <w:right w:val="none" w:sz="0" w:space="0" w:color="auto"/>
      </w:divBdr>
      <w:divsChild>
        <w:div w:id="2056544117">
          <w:marLeft w:val="0"/>
          <w:marRight w:val="0"/>
          <w:marTop w:val="0"/>
          <w:marBottom w:val="0"/>
          <w:divBdr>
            <w:top w:val="single" w:sz="2" w:space="0" w:color="ECEDEE"/>
            <w:left w:val="single" w:sz="2" w:space="0" w:color="ECEDEE"/>
            <w:bottom w:val="single" w:sz="2" w:space="0" w:color="ECEDEE"/>
            <w:right w:val="single" w:sz="2" w:space="0" w:color="ECEDEE"/>
          </w:divBdr>
          <w:divsChild>
            <w:div w:id="1225868793">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931739953">
      <w:bodyDiv w:val="1"/>
      <w:marLeft w:val="0"/>
      <w:marRight w:val="0"/>
      <w:marTop w:val="0"/>
      <w:marBottom w:val="0"/>
      <w:divBdr>
        <w:top w:val="none" w:sz="0" w:space="0" w:color="auto"/>
        <w:left w:val="none" w:sz="0" w:space="0" w:color="auto"/>
        <w:bottom w:val="none" w:sz="0" w:space="0" w:color="auto"/>
        <w:right w:val="none" w:sz="0" w:space="0" w:color="auto"/>
      </w:divBdr>
    </w:div>
    <w:div w:id="957184075">
      <w:bodyDiv w:val="1"/>
      <w:marLeft w:val="0"/>
      <w:marRight w:val="0"/>
      <w:marTop w:val="0"/>
      <w:marBottom w:val="0"/>
      <w:divBdr>
        <w:top w:val="none" w:sz="0" w:space="0" w:color="auto"/>
        <w:left w:val="none" w:sz="0" w:space="0" w:color="auto"/>
        <w:bottom w:val="none" w:sz="0" w:space="0" w:color="auto"/>
        <w:right w:val="none" w:sz="0" w:space="0" w:color="auto"/>
      </w:divBdr>
      <w:divsChild>
        <w:div w:id="1302535692">
          <w:marLeft w:val="0"/>
          <w:marRight w:val="0"/>
          <w:marTop w:val="0"/>
          <w:marBottom w:val="0"/>
          <w:divBdr>
            <w:top w:val="none" w:sz="0" w:space="0" w:color="auto"/>
            <w:left w:val="none" w:sz="0" w:space="0" w:color="auto"/>
            <w:bottom w:val="none" w:sz="0" w:space="0" w:color="auto"/>
            <w:right w:val="none" w:sz="0" w:space="0" w:color="auto"/>
          </w:divBdr>
          <w:divsChild>
            <w:div w:id="33210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9051">
      <w:bodyDiv w:val="1"/>
      <w:marLeft w:val="0"/>
      <w:marRight w:val="0"/>
      <w:marTop w:val="0"/>
      <w:marBottom w:val="0"/>
      <w:divBdr>
        <w:top w:val="none" w:sz="0" w:space="0" w:color="auto"/>
        <w:left w:val="none" w:sz="0" w:space="0" w:color="auto"/>
        <w:bottom w:val="none" w:sz="0" w:space="0" w:color="auto"/>
        <w:right w:val="none" w:sz="0" w:space="0" w:color="auto"/>
      </w:divBdr>
      <w:divsChild>
        <w:div w:id="363988178">
          <w:marLeft w:val="0"/>
          <w:marRight w:val="0"/>
          <w:marTop w:val="0"/>
          <w:marBottom w:val="0"/>
          <w:divBdr>
            <w:top w:val="none" w:sz="0" w:space="0" w:color="auto"/>
            <w:left w:val="none" w:sz="0" w:space="0" w:color="auto"/>
            <w:bottom w:val="none" w:sz="0" w:space="0" w:color="auto"/>
            <w:right w:val="none" w:sz="0" w:space="0" w:color="auto"/>
          </w:divBdr>
        </w:div>
      </w:divsChild>
    </w:div>
    <w:div w:id="1574975251">
      <w:bodyDiv w:val="1"/>
      <w:marLeft w:val="0"/>
      <w:marRight w:val="0"/>
      <w:marTop w:val="0"/>
      <w:marBottom w:val="0"/>
      <w:divBdr>
        <w:top w:val="none" w:sz="0" w:space="0" w:color="auto"/>
        <w:left w:val="none" w:sz="0" w:space="0" w:color="auto"/>
        <w:bottom w:val="none" w:sz="0" w:space="0" w:color="auto"/>
        <w:right w:val="none" w:sz="0" w:space="0" w:color="auto"/>
      </w:divBdr>
    </w:div>
    <w:div w:id="1815171322">
      <w:bodyDiv w:val="1"/>
      <w:marLeft w:val="0"/>
      <w:marRight w:val="0"/>
      <w:marTop w:val="0"/>
      <w:marBottom w:val="0"/>
      <w:divBdr>
        <w:top w:val="none" w:sz="0" w:space="0" w:color="auto"/>
        <w:left w:val="none" w:sz="0" w:space="0" w:color="auto"/>
        <w:bottom w:val="none" w:sz="0" w:space="0" w:color="auto"/>
        <w:right w:val="none" w:sz="0" w:space="0" w:color="auto"/>
      </w:divBdr>
      <w:divsChild>
        <w:div w:id="787309518">
          <w:marLeft w:val="0"/>
          <w:marRight w:val="0"/>
          <w:marTop w:val="0"/>
          <w:marBottom w:val="0"/>
          <w:divBdr>
            <w:top w:val="single" w:sz="2" w:space="0" w:color="ECEDEE"/>
            <w:left w:val="single" w:sz="2" w:space="0" w:color="ECEDEE"/>
            <w:bottom w:val="single" w:sz="2" w:space="0" w:color="ECEDEE"/>
            <w:right w:val="single" w:sz="2" w:space="0" w:color="ECEDEE"/>
          </w:divBdr>
          <w:divsChild>
            <w:div w:id="983003989">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 w:id="1848010900">
      <w:bodyDiv w:val="1"/>
      <w:marLeft w:val="0"/>
      <w:marRight w:val="0"/>
      <w:marTop w:val="0"/>
      <w:marBottom w:val="0"/>
      <w:divBdr>
        <w:top w:val="none" w:sz="0" w:space="0" w:color="auto"/>
        <w:left w:val="none" w:sz="0" w:space="0" w:color="auto"/>
        <w:bottom w:val="none" w:sz="0" w:space="0" w:color="auto"/>
        <w:right w:val="none" w:sz="0" w:space="0" w:color="auto"/>
      </w:divBdr>
    </w:div>
    <w:div w:id="2043171398">
      <w:bodyDiv w:val="1"/>
      <w:marLeft w:val="0"/>
      <w:marRight w:val="0"/>
      <w:marTop w:val="0"/>
      <w:marBottom w:val="0"/>
      <w:divBdr>
        <w:top w:val="none" w:sz="0" w:space="0" w:color="auto"/>
        <w:left w:val="none" w:sz="0" w:space="0" w:color="auto"/>
        <w:bottom w:val="none" w:sz="0" w:space="0" w:color="auto"/>
        <w:right w:val="none" w:sz="0" w:space="0" w:color="auto"/>
      </w:divBdr>
    </w:div>
    <w:div w:id="210691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chart" Target="charts/chart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chart" Target="charts/chart1.xml"/><Relationship Id="rId25" Type="http://schemas.openxmlformats.org/officeDocument/2006/relationships/hyperlink" Target="https://gs.statcounter.com/search-engine-market-shar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ons.gov.uk/peoplepopulationandcommunity/healthandsocialcare/conditionsanddiseases/bulletins/selfreportedlongcovidandlabourmarketoutcomesuk2022/selfreportedlongcovidandlabourmarketoutcomesuk2022"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thetimes.co.uk/article/why-is-britain-now-the-capital-of-long-covid-grjpvzfvw"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chart" Target="charts/chart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netapp-ict\FldRedir$\robbint2\My%20Documents\geoMap3.csv"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file:///\\netapp-ict\FldRedir$\robbint2\My%20Documents\geoMap2.csv"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file:///\\netapp-ict\FldRedir$\robbint2\My%20Documents\MasterCovidN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dirty="0"/>
              <a:t>Search Engine Market</a:t>
            </a:r>
            <a:r>
              <a:rPr lang="en-GB" baseline="0" dirty="0"/>
              <a:t> Share</a:t>
            </a:r>
            <a:endParaRPr lang="en-GB" dirty="0"/>
          </a:p>
        </c:rich>
      </c:tx>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cat>
            <c:strRef>
              <c:f>Sheet1!$W$7:$W$12</c:f>
              <c:strCache>
                <c:ptCount val="6"/>
                <c:pt idx="0">
                  <c:v>Google</c:v>
                </c:pt>
                <c:pt idx="1">
                  <c:v>Bing</c:v>
                </c:pt>
                <c:pt idx="2">
                  <c:v>Yahoo</c:v>
                </c:pt>
                <c:pt idx="3">
                  <c:v>Baidu</c:v>
                </c:pt>
                <c:pt idx="4">
                  <c:v>DuckDuckGo</c:v>
                </c:pt>
                <c:pt idx="5">
                  <c:v>Yandee</c:v>
                </c:pt>
              </c:strCache>
            </c:strRef>
          </c:cat>
          <c:val>
            <c:numRef>
              <c:f>Sheet1!$X$7:$X$12</c:f>
              <c:numCache>
                <c:formatCode>General</c:formatCode>
                <c:ptCount val="6"/>
                <c:pt idx="0">
                  <c:v>92.24</c:v>
                </c:pt>
                <c:pt idx="1">
                  <c:v>2.29</c:v>
                </c:pt>
                <c:pt idx="2">
                  <c:v>1.52</c:v>
                </c:pt>
                <c:pt idx="3">
                  <c:v>1.48</c:v>
                </c:pt>
                <c:pt idx="4">
                  <c:v>0.57999999999999996</c:v>
                </c:pt>
                <c:pt idx="5">
                  <c:v>0.56999999999999995</c:v>
                </c:pt>
              </c:numCache>
            </c:numRef>
          </c:val>
          <c:extLst>
            <c:ext xmlns:c16="http://schemas.microsoft.com/office/drawing/2014/chart" uri="{C3380CC4-5D6E-409C-BE32-E72D297353CC}">
              <c16:uniqueId val="{00000000-81B6-413B-9036-93E568467D92}"/>
            </c:ext>
          </c:extLst>
        </c:ser>
        <c:dLbls>
          <c:showLegendKey val="0"/>
          <c:showVal val="0"/>
          <c:showCatName val="0"/>
          <c:showSerName val="0"/>
          <c:showPercent val="0"/>
          <c:showBubbleSize val="0"/>
        </c:dLbls>
        <c:gapWidth val="150"/>
        <c:axId val="121037952"/>
        <c:axId val="121039488"/>
      </c:barChart>
      <c:catAx>
        <c:axId val="12103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039488"/>
        <c:crosses val="autoZero"/>
        <c:auto val="1"/>
        <c:lblAlgn val="ctr"/>
        <c:lblOffset val="100"/>
        <c:noMultiLvlLbl val="0"/>
      </c:catAx>
      <c:valAx>
        <c:axId val="121039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dirty="0"/>
                  <a:t>Percentage</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037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Long COVID Searches During Initial Study Period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geoMap3!$A$1:$A$55</c:f>
              <c:strCache>
                <c:ptCount val="55"/>
                <c:pt idx="0">
                  <c:v>United Kingdom</c:v>
                </c:pt>
                <c:pt idx="1">
                  <c:v>Ireland</c:v>
                </c:pt>
                <c:pt idx="2">
                  <c:v>Austria</c:v>
                </c:pt>
                <c:pt idx="3">
                  <c:v>Germany</c:v>
                </c:pt>
                <c:pt idx="4">
                  <c:v>Switzerland</c:v>
                </c:pt>
                <c:pt idx="5">
                  <c:v>New Zealand</c:v>
                </c:pt>
                <c:pt idx="6">
                  <c:v>Netherlands</c:v>
                </c:pt>
                <c:pt idx="7">
                  <c:v>Hungary</c:v>
                </c:pt>
                <c:pt idx="8">
                  <c:v>Sweden</c:v>
                </c:pt>
                <c:pt idx="9">
                  <c:v>Australia</c:v>
                </c:pt>
                <c:pt idx="10">
                  <c:v>Canada</c:v>
                </c:pt>
                <c:pt idx="11">
                  <c:v>Croatia</c:v>
                </c:pt>
                <c:pt idx="12">
                  <c:v>United States</c:v>
                </c:pt>
                <c:pt idx="13">
                  <c:v>Singapore</c:v>
                </c:pt>
                <c:pt idx="14">
                  <c:v>Italy</c:v>
                </c:pt>
                <c:pt idx="15">
                  <c:v>Czechia</c:v>
                </c:pt>
                <c:pt idx="16">
                  <c:v>South Africa</c:v>
                </c:pt>
                <c:pt idx="17">
                  <c:v>Finland</c:v>
                </c:pt>
                <c:pt idx="18">
                  <c:v>Malaysia</c:v>
                </c:pt>
                <c:pt idx="19">
                  <c:v>Norway</c:v>
                </c:pt>
                <c:pt idx="20">
                  <c:v>France</c:v>
                </c:pt>
                <c:pt idx="21">
                  <c:v>Venezuela</c:v>
                </c:pt>
                <c:pt idx="22">
                  <c:v>Greece</c:v>
                </c:pt>
                <c:pt idx="23">
                  <c:v>Slovakia</c:v>
                </c:pt>
                <c:pt idx="24">
                  <c:v>United Arab Emirates</c:v>
                </c:pt>
                <c:pt idx="25">
                  <c:v>India</c:v>
                </c:pt>
                <c:pt idx="26">
                  <c:v>Spain</c:v>
                </c:pt>
                <c:pt idx="27">
                  <c:v>Romania</c:v>
                </c:pt>
                <c:pt idx="28">
                  <c:v>Belgium</c:v>
                </c:pt>
                <c:pt idx="29">
                  <c:v>Argentina</c:v>
                </c:pt>
                <c:pt idx="30">
                  <c:v>Israel</c:v>
                </c:pt>
                <c:pt idx="31">
                  <c:v>Thailand</c:v>
                </c:pt>
                <c:pt idx="32">
                  <c:v>Peru</c:v>
                </c:pt>
                <c:pt idx="33">
                  <c:v>Ecuador</c:v>
                </c:pt>
                <c:pt idx="34">
                  <c:v>Philippines</c:v>
                </c:pt>
                <c:pt idx="35">
                  <c:v>Chile</c:v>
                </c:pt>
                <c:pt idx="36">
                  <c:v>Serbia</c:v>
                </c:pt>
                <c:pt idx="37">
                  <c:v>Mexico</c:v>
                </c:pt>
                <c:pt idx="38">
                  <c:v>Pakistan</c:v>
                </c:pt>
                <c:pt idx="39">
                  <c:v>Hong Kong</c:v>
                </c:pt>
                <c:pt idx="40">
                  <c:v>Bangladesh</c:v>
                </c:pt>
                <c:pt idx="41">
                  <c:v>Portugal</c:v>
                </c:pt>
                <c:pt idx="42">
                  <c:v>Indonesia</c:v>
                </c:pt>
                <c:pt idx="43">
                  <c:v>Colombia</c:v>
                </c:pt>
                <c:pt idx="44">
                  <c:v>Denmark</c:v>
                </c:pt>
                <c:pt idx="45">
                  <c:v>Russia</c:v>
                </c:pt>
                <c:pt idx="46">
                  <c:v>Ukraine</c:v>
                </c:pt>
                <c:pt idx="47">
                  <c:v>Egypt</c:v>
                </c:pt>
                <c:pt idx="48">
                  <c:v>Poland</c:v>
                </c:pt>
                <c:pt idx="49">
                  <c:v>Saudi Arabia</c:v>
                </c:pt>
                <c:pt idx="50">
                  <c:v>Brazil</c:v>
                </c:pt>
                <c:pt idx="51">
                  <c:v>Taiwan</c:v>
                </c:pt>
                <c:pt idx="52">
                  <c:v>Vietnam</c:v>
                </c:pt>
                <c:pt idx="53">
                  <c:v>Turkey</c:v>
                </c:pt>
                <c:pt idx="54">
                  <c:v>Japan</c:v>
                </c:pt>
              </c:strCache>
            </c:strRef>
          </c:cat>
          <c:val>
            <c:numRef>
              <c:f>geoMap3!$B$1:$B$55</c:f>
              <c:numCache>
                <c:formatCode>General</c:formatCode>
                <c:ptCount val="55"/>
                <c:pt idx="0">
                  <c:v>100</c:v>
                </c:pt>
                <c:pt idx="1">
                  <c:v>78</c:v>
                </c:pt>
                <c:pt idx="2">
                  <c:v>66</c:v>
                </c:pt>
                <c:pt idx="3">
                  <c:v>60</c:v>
                </c:pt>
                <c:pt idx="4">
                  <c:v>59</c:v>
                </c:pt>
                <c:pt idx="5">
                  <c:v>58</c:v>
                </c:pt>
                <c:pt idx="6">
                  <c:v>54</c:v>
                </c:pt>
                <c:pt idx="7">
                  <c:v>54</c:v>
                </c:pt>
                <c:pt idx="8">
                  <c:v>53</c:v>
                </c:pt>
                <c:pt idx="9">
                  <c:v>46</c:v>
                </c:pt>
                <c:pt idx="10">
                  <c:v>45</c:v>
                </c:pt>
                <c:pt idx="11">
                  <c:v>41</c:v>
                </c:pt>
                <c:pt idx="12">
                  <c:v>39</c:v>
                </c:pt>
                <c:pt idx="13">
                  <c:v>38</c:v>
                </c:pt>
                <c:pt idx="14">
                  <c:v>38</c:v>
                </c:pt>
                <c:pt idx="15">
                  <c:v>34</c:v>
                </c:pt>
                <c:pt idx="16">
                  <c:v>30</c:v>
                </c:pt>
                <c:pt idx="17">
                  <c:v>30</c:v>
                </c:pt>
                <c:pt idx="18">
                  <c:v>29</c:v>
                </c:pt>
                <c:pt idx="19">
                  <c:v>28</c:v>
                </c:pt>
                <c:pt idx="20">
                  <c:v>26</c:v>
                </c:pt>
                <c:pt idx="21">
                  <c:v>23</c:v>
                </c:pt>
                <c:pt idx="22">
                  <c:v>23</c:v>
                </c:pt>
                <c:pt idx="23">
                  <c:v>23</c:v>
                </c:pt>
                <c:pt idx="24">
                  <c:v>22</c:v>
                </c:pt>
                <c:pt idx="25">
                  <c:v>22</c:v>
                </c:pt>
                <c:pt idx="26">
                  <c:v>22</c:v>
                </c:pt>
                <c:pt idx="27">
                  <c:v>22</c:v>
                </c:pt>
                <c:pt idx="28">
                  <c:v>20</c:v>
                </c:pt>
                <c:pt idx="29">
                  <c:v>20</c:v>
                </c:pt>
                <c:pt idx="30">
                  <c:v>16</c:v>
                </c:pt>
                <c:pt idx="31">
                  <c:v>16</c:v>
                </c:pt>
                <c:pt idx="32">
                  <c:v>16</c:v>
                </c:pt>
                <c:pt idx="33">
                  <c:v>14</c:v>
                </c:pt>
                <c:pt idx="34">
                  <c:v>13</c:v>
                </c:pt>
                <c:pt idx="35">
                  <c:v>13</c:v>
                </c:pt>
                <c:pt idx="36">
                  <c:v>13</c:v>
                </c:pt>
                <c:pt idx="37">
                  <c:v>13</c:v>
                </c:pt>
                <c:pt idx="38">
                  <c:v>11</c:v>
                </c:pt>
                <c:pt idx="39">
                  <c:v>11</c:v>
                </c:pt>
                <c:pt idx="40">
                  <c:v>10</c:v>
                </c:pt>
                <c:pt idx="41">
                  <c:v>10</c:v>
                </c:pt>
                <c:pt idx="42">
                  <c:v>9</c:v>
                </c:pt>
                <c:pt idx="43">
                  <c:v>8</c:v>
                </c:pt>
                <c:pt idx="44">
                  <c:v>8</c:v>
                </c:pt>
                <c:pt idx="45">
                  <c:v>7</c:v>
                </c:pt>
                <c:pt idx="46">
                  <c:v>5</c:v>
                </c:pt>
                <c:pt idx="47">
                  <c:v>5</c:v>
                </c:pt>
                <c:pt idx="48">
                  <c:v>4</c:v>
                </c:pt>
                <c:pt idx="49">
                  <c:v>4</c:v>
                </c:pt>
                <c:pt idx="50">
                  <c:v>4</c:v>
                </c:pt>
                <c:pt idx="51">
                  <c:v>3</c:v>
                </c:pt>
                <c:pt idx="52">
                  <c:v>3</c:v>
                </c:pt>
                <c:pt idx="53">
                  <c:v>2</c:v>
                </c:pt>
                <c:pt idx="54">
                  <c:v>1</c:v>
                </c:pt>
              </c:numCache>
            </c:numRef>
          </c:val>
          <c:extLst>
            <c:ext xmlns:c16="http://schemas.microsoft.com/office/drawing/2014/chart" uri="{C3380CC4-5D6E-409C-BE32-E72D297353CC}">
              <c16:uniqueId val="{00000000-7917-4369-A7E5-94D1D0DB32BE}"/>
            </c:ext>
          </c:extLst>
        </c:ser>
        <c:dLbls>
          <c:showLegendKey val="0"/>
          <c:showVal val="0"/>
          <c:showCatName val="0"/>
          <c:showSerName val="0"/>
          <c:showPercent val="0"/>
          <c:showBubbleSize val="0"/>
        </c:dLbls>
        <c:gapWidth val="182"/>
        <c:axId val="908733152"/>
        <c:axId val="908728560"/>
      </c:barChart>
      <c:catAx>
        <c:axId val="9087331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8728560"/>
        <c:crosses val="autoZero"/>
        <c:auto val="1"/>
        <c:lblAlgn val="ctr"/>
        <c:lblOffset val="100"/>
        <c:noMultiLvlLbl val="0"/>
      </c:catAx>
      <c:valAx>
        <c:axId val="9087285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087331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Long COVID February</a:t>
            </a:r>
            <a:r>
              <a:rPr lang="en-GB" baseline="0"/>
              <a:t> 2023</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'fig 5'!$A$4:$A$49</c:f>
              <c:strCache>
                <c:ptCount val="46"/>
                <c:pt idx="0">
                  <c:v>New Zealand</c:v>
                </c:pt>
                <c:pt idx="1">
                  <c:v>Germany</c:v>
                </c:pt>
                <c:pt idx="2">
                  <c:v>Netherlands</c:v>
                </c:pt>
                <c:pt idx="3">
                  <c:v>China</c:v>
                </c:pt>
                <c:pt idx="4">
                  <c:v>Austria</c:v>
                </c:pt>
                <c:pt idx="5">
                  <c:v>Luxembourg</c:v>
                </c:pt>
                <c:pt idx="6">
                  <c:v>Ireland</c:v>
                </c:pt>
                <c:pt idx="7">
                  <c:v>United Kingdom</c:v>
                </c:pt>
                <c:pt idx="8">
                  <c:v>Sweden</c:v>
                </c:pt>
                <c:pt idx="9">
                  <c:v>Australia</c:v>
                </c:pt>
                <c:pt idx="10">
                  <c:v>Canada</c:v>
                </c:pt>
                <c:pt idx="11">
                  <c:v>Norway</c:v>
                </c:pt>
                <c:pt idx="12">
                  <c:v>Switzerland</c:v>
                </c:pt>
                <c:pt idx="13">
                  <c:v>United States</c:v>
                </c:pt>
                <c:pt idx="14">
                  <c:v>Finland</c:v>
                </c:pt>
                <c:pt idx="15">
                  <c:v>Italy</c:v>
                </c:pt>
                <c:pt idx="16">
                  <c:v>Hungary</c:v>
                </c:pt>
                <c:pt idx="17">
                  <c:v>Singapore</c:v>
                </c:pt>
                <c:pt idx="18">
                  <c:v>France</c:v>
                </c:pt>
                <c:pt idx="19">
                  <c:v>Hong Kong</c:v>
                </c:pt>
                <c:pt idx="20">
                  <c:v>Greece</c:v>
                </c:pt>
                <c:pt idx="21">
                  <c:v>Belgium</c:v>
                </c:pt>
                <c:pt idx="22">
                  <c:v>Guatemala</c:v>
                </c:pt>
                <c:pt idx="23">
                  <c:v>Qatar</c:v>
                </c:pt>
                <c:pt idx="24">
                  <c:v>Malaysia</c:v>
                </c:pt>
                <c:pt idx="25">
                  <c:v>Venezuela</c:v>
                </c:pt>
                <c:pt idx="26">
                  <c:v>Croatia</c:v>
                </c:pt>
                <c:pt idx="27">
                  <c:v>Spain</c:v>
                </c:pt>
                <c:pt idx="28">
                  <c:v>South Africa</c:v>
                </c:pt>
                <c:pt idx="29">
                  <c:v>Czechia</c:v>
                </c:pt>
                <c:pt idx="30">
                  <c:v>Thailand</c:v>
                </c:pt>
                <c:pt idx="31">
                  <c:v>Ecuador</c:v>
                </c:pt>
                <c:pt idx="32">
                  <c:v>Argentina</c:v>
                </c:pt>
                <c:pt idx="33">
                  <c:v>Mexico</c:v>
                </c:pt>
                <c:pt idx="34">
                  <c:v>Chile</c:v>
                </c:pt>
                <c:pt idx="35">
                  <c:v>Denmark</c:v>
                </c:pt>
                <c:pt idx="36">
                  <c:v>Slovakia</c:v>
                </c:pt>
                <c:pt idx="37">
                  <c:v>United Arab Emirates</c:v>
                </c:pt>
                <c:pt idx="38">
                  <c:v>Romania</c:v>
                </c:pt>
                <c:pt idx="39">
                  <c:v>Philippines</c:v>
                </c:pt>
                <c:pt idx="40">
                  <c:v>Poland</c:v>
                </c:pt>
                <c:pt idx="41">
                  <c:v>Peru</c:v>
                </c:pt>
                <c:pt idx="42">
                  <c:v>India</c:v>
                </c:pt>
                <c:pt idx="43">
                  <c:v>Brazil</c:v>
                </c:pt>
                <c:pt idx="44">
                  <c:v>Russia</c:v>
                </c:pt>
                <c:pt idx="45">
                  <c:v>Indonesia</c:v>
                </c:pt>
              </c:strCache>
            </c:strRef>
          </c:cat>
          <c:val>
            <c:numRef>
              <c:f>'fig 5'!$B$4:$B$49</c:f>
              <c:numCache>
                <c:formatCode>General</c:formatCode>
                <c:ptCount val="46"/>
                <c:pt idx="0">
                  <c:v>100</c:v>
                </c:pt>
                <c:pt idx="1">
                  <c:v>84</c:v>
                </c:pt>
                <c:pt idx="2">
                  <c:v>84</c:v>
                </c:pt>
                <c:pt idx="3">
                  <c:v>80</c:v>
                </c:pt>
                <c:pt idx="4">
                  <c:v>76</c:v>
                </c:pt>
                <c:pt idx="5">
                  <c:v>68</c:v>
                </c:pt>
                <c:pt idx="6">
                  <c:v>60</c:v>
                </c:pt>
                <c:pt idx="7">
                  <c:v>60</c:v>
                </c:pt>
                <c:pt idx="8">
                  <c:v>60</c:v>
                </c:pt>
                <c:pt idx="9">
                  <c:v>60</c:v>
                </c:pt>
                <c:pt idx="10">
                  <c:v>56</c:v>
                </c:pt>
                <c:pt idx="11">
                  <c:v>52</c:v>
                </c:pt>
                <c:pt idx="12">
                  <c:v>52</c:v>
                </c:pt>
                <c:pt idx="13">
                  <c:v>44</c:v>
                </c:pt>
                <c:pt idx="14">
                  <c:v>32</c:v>
                </c:pt>
                <c:pt idx="15">
                  <c:v>28</c:v>
                </c:pt>
                <c:pt idx="16">
                  <c:v>24</c:v>
                </c:pt>
                <c:pt idx="17">
                  <c:v>24</c:v>
                </c:pt>
                <c:pt idx="18">
                  <c:v>24</c:v>
                </c:pt>
                <c:pt idx="19">
                  <c:v>20</c:v>
                </c:pt>
                <c:pt idx="20">
                  <c:v>20</c:v>
                </c:pt>
                <c:pt idx="21">
                  <c:v>16</c:v>
                </c:pt>
                <c:pt idx="22">
                  <c:v>16</c:v>
                </c:pt>
                <c:pt idx="23">
                  <c:v>16</c:v>
                </c:pt>
                <c:pt idx="24">
                  <c:v>16</c:v>
                </c:pt>
                <c:pt idx="25">
                  <c:v>12</c:v>
                </c:pt>
                <c:pt idx="26">
                  <c:v>12</c:v>
                </c:pt>
                <c:pt idx="27">
                  <c:v>12</c:v>
                </c:pt>
                <c:pt idx="28">
                  <c:v>12</c:v>
                </c:pt>
                <c:pt idx="29">
                  <c:v>12</c:v>
                </c:pt>
                <c:pt idx="30">
                  <c:v>12</c:v>
                </c:pt>
                <c:pt idx="31">
                  <c:v>8</c:v>
                </c:pt>
                <c:pt idx="32">
                  <c:v>8</c:v>
                </c:pt>
                <c:pt idx="33">
                  <c:v>8</c:v>
                </c:pt>
                <c:pt idx="34">
                  <c:v>8</c:v>
                </c:pt>
                <c:pt idx="35">
                  <c:v>8</c:v>
                </c:pt>
                <c:pt idx="36">
                  <c:v>8</c:v>
                </c:pt>
                <c:pt idx="37">
                  <c:v>8</c:v>
                </c:pt>
                <c:pt idx="38">
                  <c:v>8</c:v>
                </c:pt>
                <c:pt idx="39">
                  <c:v>4</c:v>
                </c:pt>
                <c:pt idx="40">
                  <c:v>4</c:v>
                </c:pt>
                <c:pt idx="41">
                  <c:v>4</c:v>
                </c:pt>
                <c:pt idx="42">
                  <c:v>4</c:v>
                </c:pt>
                <c:pt idx="43">
                  <c:v>4</c:v>
                </c:pt>
                <c:pt idx="44">
                  <c:v>4</c:v>
                </c:pt>
                <c:pt idx="45">
                  <c:v>4</c:v>
                </c:pt>
              </c:numCache>
            </c:numRef>
          </c:val>
          <c:extLst>
            <c:ext xmlns:c16="http://schemas.microsoft.com/office/drawing/2014/chart" uri="{C3380CC4-5D6E-409C-BE32-E72D297353CC}">
              <c16:uniqueId val="{00000000-52D6-4DE9-BB8D-2E19DF12C609}"/>
            </c:ext>
          </c:extLst>
        </c:ser>
        <c:dLbls>
          <c:showLegendKey val="0"/>
          <c:showVal val="0"/>
          <c:showCatName val="0"/>
          <c:showSerName val="0"/>
          <c:showPercent val="0"/>
          <c:showBubbleSize val="0"/>
        </c:dLbls>
        <c:gapWidth val="182"/>
        <c:axId val="824678024"/>
        <c:axId val="824683600"/>
      </c:barChart>
      <c:catAx>
        <c:axId val="8246780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4683600"/>
        <c:crosses val="autoZero"/>
        <c:auto val="1"/>
        <c:lblAlgn val="ctr"/>
        <c:lblOffset val="100"/>
        <c:noMultiLvlLbl val="0"/>
      </c:catAx>
      <c:valAx>
        <c:axId val="8246836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46780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dirty="0"/>
              <a:t>Long COVID (condition) vs Omicron COVID</a:t>
            </a:r>
            <a:r>
              <a:rPr lang="en-GB" baseline="0" dirty="0"/>
              <a:t> vs Delta COVID</a:t>
            </a:r>
            <a:endParaRPr lang="en-GB" dirty="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'More Variants'!$B$3</c:f>
              <c:strCache>
                <c:ptCount val="1"/>
                <c:pt idx="0">
                  <c:v>Long Covid: (United Kingdom)</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'More Variants'!$A$4:$A$131</c:f>
              <c:numCache>
                <c:formatCode>m/d/yyyy</c:formatCode>
                <c:ptCount val="128"/>
                <c:pt idx="0">
                  <c:v>43891</c:v>
                </c:pt>
                <c:pt idx="1">
                  <c:v>43898</c:v>
                </c:pt>
                <c:pt idx="2">
                  <c:v>43905</c:v>
                </c:pt>
                <c:pt idx="3">
                  <c:v>43912</c:v>
                </c:pt>
                <c:pt idx="4">
                  <c:v>43919</c:v>
                </c:pt>
                <c:pt idx="5">
                  <c:v>43926</c:v>
                </c:pt>
                <c:pt idx="6">
                  <c:v>43933</c:v>
                </c:pt>
                <c:pt idx="7">
                  <c:v>43940</c:v>
                </c:pt>
                <c:pt idx="8">
                  <c:v>43947</c:v>
                </c:pt>
                <c:pt idx="9">
                  <c:v>43954</c:v>
                </c:pt>
                <c:pt idx="10">
                  <c:v>43961</c:v>
                </c:pt>
                <c:pt idx="11">
                  <c:v>43968</c:v>
                </c:pt>
                <c:pt idx="12">
                  <c:v>43975</c:v>
                </c:pt>
                <c:pt idx="13">
                  <c:v>43982</c:v>
                </c:pt>
                <c:pt idx="14">
                  <c:v>43989</c:v>
                </c:pt>
                <c:pt idx="15">
                  <c:v>43996</c:v>
                </c:pt>
                <c:pt idx="16">
                  <c:v>44003</c:v>
                </c:pt>
                <c:pt idx="17">
                  <c:v>44010</c:v>
                </c:pt>
                <c:pt idx="18">
                  <c:v>44017</c:v>
                </c:pt>
                <c:pt idx="19">
                  <c:v>44024</c:v>
                </c:pt>
                <c:pt idx="20">
                  <c:v>44031</c:v>
                </c:pt>
                <c:pt idx="21">
                  <c:v>44038</c:v>
                </c:pt>
                <c:pt idx="22">
                  <c:v>44045</c:v>
                </c:pt>
                <c:pt idx="23">
                  <c:v>44052</c:v>
                </c:pt>
                <c:pt idx="24">
                  <c:v>44059</c:v>
                </c:pt>
                <c:pt idx="25">
                  <c:v>44066</c:v>
                </c:pt>
                <c:pt idx="26">
                  <c:v>44073</c:v>
                </c:pt>
                <c:pt idx="27">
                  <c:v>44080</c:v>
                </c:pt>
                <c:pt idx="28">
                  <c:v>44087</c:v>
                </c:pt>
                <c:pt idx="29">
                  <c:v>44094</c:v>
                </c:pt>
                <c:pt idx="30">
                  <c:v>44101</c:v>
                </c:pt>
                <c:pt idx="31">
                  <c:v>44108</c:v>
                </c:pt>
                <c:pt idx="32">
                  <c:v>44115</c:v>
                </c:pt>
                <c:pt idx="33">
                  <c:v>44122</c:v>
                </c:pt>
                <c:pt idx="34">
                  <c:v>44129</c:v>
                </c:pt>
                <c:pt idx="35">
                  <c:v>44136</c:v>
                </c:pt>
                <c:pt idx="36">
                  <c:v>44143</c:v>
                </c:pt>
                <c:pt idx="37">
                  <c:v>44150</c:v>
                </c:pt>
                <c:pt idx="38">
                  <c:v>44157</c:v>
                </c:pt>
                <c:pt idx="39">
                  <c:v>44164</c:v>
                </c:pt>
                <c:pt idx="40">
                  <c:v>44171</c:v>
                </c:pt>
                <c:pt idx="41">
                  <c:v>44178</c:v>
                </c:pt>
                <c:pt idx="42">
                  <c:v>44185</c:v>
                </c:pt>
                <c:pt idx="43">
                  <c:v>44192</c:v>
                </c:pt>
                <c:pt idx="44">
                  <c:v>44199</c:v>
                </c:pt>
                <c:pt idx="45">
                  <c:v>44206</c:v>
                </c:pt>
                <c:pt idx="46">
                  <c:v>44213</c:v>
                </c:pt>
                <c:pt idx="47">
                  <c:v>44220</c:v>
                </c:pt>
                <c:pt idx="48">
                  <c:v>44227</c:v>
                </c:pt>
                <c:pt idx="49">
                  <c:v>44234</c:v>
                </c:pt>
                <c:pt idx="50">
                  <c:v>44241</c:v>
                </c:pt>
                <c:pt idx="51">
                  <c:v>44248</c:v>
                </c:pt>
                <c:pt idx="52">
                  <c:v>44255</c:v>
                </c:pt>
                <c:pt idx="53">
                  <c:v>44262</c:v>
                </c:pt>
                <c:pt idx="54">
                  <c:v>44269</c:v>
                </c:pt>
                <c:pt idx="55">
                  <c:v>44276</c:v>
                </c:pt>
                <c:pt idx="56">
                  <c:v>44283</c:v>
                </c:pt>
                <c:pt idx="57">
                  <c:v>44290</c:v>
                </c:pt>
                <c:pt idx="58">
                  <c:v>44297</c:v>
                </c:pt>
                <c:pt idx="59">
                  <c:v>44304</c:v>
                </c:pt>
                <c:pt idx="60">
                  <c:v>44311</c:v>
                </c:pt>
                <c:pt idx="61">
                  <c:v>44318</c:v>
                </c:pt>
                <c:pt idx="62">
                  <c:v>44325</c:v>
                </c:pt>
                <c:pt idx="63">
                  <c:v>44332</c:v>
                </c:pt>
                <c:pt idx="64">
                  <c:v>44339</c:v>
                </c:pt>
                <c:pt idx="65">
                  <c:v>44346</c:v>
                </c:pt>
                <c:pt idx="66">
                  <c:v>44353</c:v>
                </c:pt>
                <c:pt idx="67">
                  <c:v>44360</c:v>
                </c:pt>
                <c:pt idx="68">
                  <c:v>44367</c:v>
                </c:pt>
                <c:pt idx="69">
                  <c:v>44374</c:v>
                </c:pt>
                <c:pt idx="70">
                  <c:v>44381</c:v>
                </c:pt>
                <c:pt idx="71">
                  <c:v>44388</c:v>
                </c:pt>
                <c:pt idx="72">
                  <c:v>44395</c:v>
                </c:pt>
                <c:pt idx="73">
                  <c:v>44402</c:v>
                </c:pt>
                <c:pt idx="74">
                  <c:v>44409</c:v>
                </c:pt>
                <c:pt idx="75">
                  <c:v>44416</c:v>
                </c:pt>
                <c:pt idx="76">
                  <c:v>44423</c:v>
                </c:pt>
                <c:pt idx="77">
                  <c:v>44430</c:v>
                </c:pt>
                <c:pt idx="78">
                  <c:v>44437</c:v>
                </c:pt>
                <c:pt idx="79">
                  <c:v>44444</c:v>
                </c:pt>
                <c:pt idx="80">
                  <c:v>44451</c:v>
                </c:pt>
                <c:pt idx="81">
                  <c:v>44458</c:v>
                </c:pt>
                <c:pt idx="82">
                  <c:v>44465</c:v>
                </c:pt>
                <c:pt idx="83">
                  <c:v>44472</c:v>
                </c:pt>
                <c:pt idx="84">
                  <c:v>44479</c:v>
                </c:pt>
                <c:pt idx="85">
                  <c:v>44486</c:v>
                </c:pt>
                <c:pt idx="86">
                  <c:v>44493</c:v>
                </c:pt>
                <c:pt idx="87">
                  <c:v>44500</c:v>
                </c:pt>
                <c:pt idx="88">
                  <c:v>44507</c:v>
                </c:pt>
                <c:pt idx="89">
                  <c:v>44514</c:v>
                </c:pt>
                <c:pt idx="90">
                  <c:v>44521</c:v>
                </c:pt>
                <c:pt idx="91">
                  <c:v>44528</c:v>
                </c:pt>
                <c:pt idx="92">
                  <c:v>44535</c:v>
                </c:pt>
                <c:pt idx="93">
                  <c:v>44542</c:v>
                </c:pt>
                <c:pt idx="94">
                  <c:v>44549</c:v>
                </c:pt>
                <c:pt idx="95">
                  <c:v>44556</c:v>
                </c:pt>
                <c:pt idx="96">
                  <c:v>44563</c:v>
                </c:pt>
                <c:pt idx="97">
                  <c:v>44570</c:v>
                </c:pt>
                <c:pt idx="98">
                  <c:v>44577</c:v>
                </c:pt>
                <c:pt idx="99">
                  <c:v>44584</c:v>
                </c:pt>
                <c:pt idx="100">
                  <c:v>44591</c:v>
                </c:pt>
                <c:pt idx="101">
                  <c:v>44598</c:v>
                </c:pt>
                <c:pt idx="102">
                  <c:v>44605</c:v>
                </c:pt>
                <c:pt idx="103">
                  <c:v>44612</c:v>
                </c:pt>
                <c:pt idx="104">
                  <c:v>44619</c:v>
                </c:pt>
                <c:pt idx="105">
                  <c:v>44626</c:v>
                </c:pt>
                <c:pt idx="106">
                  <c:v>44633</c:v>
                </c:pt>
                <c:pt idx="107">
                  <c:v>44640</c:v>
                </c:pt>
                <c:pt idx="108">
                  <c:v>44647</c:v>
                </c:pt>
                <c:pt idx="109">
                  <c:v>44654</c:v>
                </c:pt>
                <c:pt idx="110">
                  <c:v>44661</c:v>
                </c:pt>
                <c:pt idx="111">
                  <c:v>44668</c:v>
                </c:pt>
                <c:pt idx="112">
                  <c:v>44675</c:v>
                </c:pt>
                <c:pt idx="113">
                  <c:v>44682</c:v>
                </c:pt>
                <c:pt idx="114">
                  <c:v>44689</c:v>
                </c:pt>
                <c:pt idx="115">
                  <c:v>44696</c:v>
                </c:pt>
                <c:pt idx="116">
                  <c:v>44703</c:v>
                </c:pt>
                <c:pt idx="117">
                  <c:v>44710</c:v>
                </c:pt>
                <c:pt idx="118">
                  <c:v>44717</c:v>
                </c:pt>
                <c:pt idx="119">
                  <c:v>44724</c:v>
                </c:pt>
                <c:pt idx="120">
                  <c:v>44731</c:v>
                </c:pt>
                <c:pt idx="121">
                  <c:v>44738</c:v>
                </c:pt>
                <c:pt idx="122">
                  <c:v>44745</c:v>
                </c:pt>
                <c:pt idx="123">
                  <c:v>44752</c:v>
                </c:pt>
                <c:pt idx="124">
                  <c:v>44759</c:v>
                </c:pt>
                <c:pt idx="125">
                  <c:v>44766</c:v>
                </c:pt>
                <c:pt idx="126">
                  <c:v>44773</c:v>
                </c:pt>
                <c:pt idx="127">
                  <c:v>44780</c:v>
                </c:pt>
              </c:numCache>
            </c:numRef>
          </c:cat>
          <c:val>
            <c:numRef>
              <c:f>'More Variants'!$B$4:$B$131</c:f>
              <c:numCache>
                <c:formatCode>General</c:formatCode>
                <c:ptCount val="128"/>
                <c:pt idx="0">
                  <c:v>0</c:v>
                </c:pt>
                <c:pt idx="1">
                  <c:v>1</c:v>
                </c:pt>
                <c:pt idx="2">
                  <c:v>4</c:v>
                </c:pt>
                <c:pt idx="3">
                  <c:v>4</c:v>
                </c:pt>
                <c:pt idx="4">
                  <c:v>4</c:v>
                </c:pt>
                <c:pt idx="5">
                  <c:v>4</c:v>
                </c:pt>
                <c:pt idx="6">
                  <c:v>4</c:v>
                </c:pt>
                <c:pt idx="7">
                  <c:v>4</c:v>
                </c:pt>
                <c:pt idx="8">
                  <c:v>4</c:v>
                </c:pt>
                <c:pt idx="9">
                  <c:v>5</c:v>
                </c:pt>
                <c:pt idx="10">
                  <c:v>6</c:v>
                </c:pt>
                <c:pt idx="11">
                  <c:v>6</c:v>
                </c:pt>
                <c:pt idx="12">
                  <c:v>5</c:v>
                </c:pt>
                <c:pt idx="13">
                  <c:v>6</c:v>
                </c:pt>
                <c:pt idx="14">
                  <c:v>7</c:v>
                </c:pt>
                <c:pt idx="15">
                  <c:v>7</c:v>
                </c:pt>
                <c:pt idx="16">
                  <c:v>8</c:v>
                </c:pt>
                <c:pt idx="17">
                  <c:v>9</c:v>
                </c:pt>
                <c:pt idx="18">
                  <c:v>12</c:v>
                </c:pt>
                <c:pt idx="19">
                  <c:v>12</c:v>
                </c:pt>
                <c:pt idx="20">
                  <c:v>9</c:v>
                </c:pt>
                <c:pt idx="21">
                  <c:v>8</c:v>
                </c:pt>
                <c:pt idx="22">
                  <c:v>11</c:v>
                </c:pt>
                <c:pt idx="23">
                  <c:v>10</c:v>
                </c:pt>
                <c:pt idx="24">
                  <c:v>11</c:v>
                </c:pt>
                <c:pt idx="25">
                  <c:v>11</c:v>
                </c:pt>
                <c:pt idx="26">
                  <c:v>10</c:v>
                </c:pt>
                <c:pt idx="27">
                  <c:v>14</c:v>
                </c:pt>
                <c:pt idx="28">
                  <c:v>15</c:v>
                </c:pt>
                <c:pt idx="29">
                  <c:v>17</c:v>
                </c:pt>
                <c:pt idx="30">
                  <c:v>25</c:v>
                </c:pt>
                <c:pt idx="31">
                  <c:v>33</c:v>
                </c:pt>
                <c:pt idx="32">
                  <c:v>34</c:v>
                </c:pt>
                <c:pt idx="33">
                  <c:v>42</c:v>
                </c:pt>
                <c:pt idx="34">
                  <c:v>29</c:v>
                </c:pt>
                <c:pt idx="35">
                  <c:v>25</c:v>
                </c:pt>
                <c:pt idx="36">
                  <c:v>31</c:v>
                </c:pt>
                <c:pt idx="37">
                  <c:v>35</c:v>
                </c:pt>
                <c:pt idx="38">
                  <c:v>27</c:v>
                </c:pt>
                <c:pt idx="39">
                  <c:v>27</c:v>
                </c:pt>
                <c:pt idx="40">
                  <c:v>25</c:v>
                </c:pt>
                <c:pt idx="41">
                  <c:v>40</c:v>
                </c:pt>
                <c:pt idx="42">
                  <c:v>36</c:v>
                </c:pt>
                <c:pt idx="43">
                  <c:v>42</c:v>
                </c:pt>
                <c:pt idx="44">
                  <c:v>44</c:v>
                </c:pt>
                <c:pt idx="45">
                  <c:v>48</c:v>
                </c:pt>
                <c:pt idx="46">
                  <c:v>42</c:v>
                </c:pt>
                <c:pt idx="47">
                  <c:v>46</c:v>
                </c:pt>
                <c:pt idx="48">
                  <c:v>41</c:v>
                </c:pt>
                <c:pt idx="49">
                  <c:v>39</c:v>
                </c:pt>
                <c:pt idx="50">
                  <c:v>49</c:v>
                </c:pt>
                <c:pt idx="51">
                  <c:v>46</c:v>
                </c:pt>
                <c:pt idx="52">
                  <c:v>42</c:v>
                </c:pt>
                <c:pt idx="53">
                  <c:v>46</c:v>
                </c:pt>
                <c:pt idx="54">
                  <c:v>49</c:v>
                </c:pt>
                <c:pt idx="55">
                  <c:v>49</c:v>
                </c:pt>
                <c:pt idx="56">
                  <c:v>52</c:v>
                </c:pt>
                <c:pt idx="57">
                  <c:v>43</c:v>
                </c:pt>
                <c:pt idx="58">
                  <c:v>39</c:v>
                </c:pt>
                <c:pt idx="59">
                  <c:v>31</c:v>
                </c:pt>
                <c:pt idx="60">
                  <c:v>36</c:v>
                </c:pt>
                <c:pt idx="61">
                  <c:v>33</c:v>
                </c:pt>
                <c:pt idx="62">
                  <c:v>32</c:v>
                </c:pt>
                <c:pt idx="63">
                  <c:v>32</c:v>
                </c:pt>
                <c:pt idx="64">
                  <c:v>29</c:v>
                </c:pt>
                <c:pt idx="65">
                  <c:v>30</c:v>
                </c:pt>
                <c:pt idx="66">
                  <c:v>32</c:v>
                </c:pt>
                <c:pt idx="67">
                  <c:v>33</c:v>
                </c:pt>
                <c:pt idx="68">
                  <c:v>43</c:v>
                </c:pt>
                <c:pt idx="69">
                  <c:v>42</c:v>
                </c:pt>
                <c:pt idx="70">
                  <c:v>66</c:v>
                </c:pt>
                <c:pt idx="71">
                  <c:v>83</c:v>
                </c:pt>
                <c:pt idx="72">
                  <c:v>54</c:v>
                </c:pt>
                <c:pt idx="73">
                  <c:v>46</c:v>
                </c:pt>
                <c:pt idx="74">
                  <c:v>62</c:v>
                </c:pt>
                <c:pt idx="75">
                  <c:v>46</c:v>
                </c:pt>
                <c:pt idx="76">
                  <c:v>47</c:v>
                </c:pt>
                <c:pt idx="77">
                  <c:v>51</c:v>
                </c:pt>
                <c:pt idx="78">
                  <c:v>51</c:v>
                </c:pt>
                <c:pt idx="79">
                  <c:v>47</c:v>
                </c:pt>
                <c:pt idx="80">
                  <c:v>46</c:v>
                </c:pt>
                <c:pt idx="81">
                  <c:v>40</c:v>
                </c:pt>
                <c:pt idx="82">
                  <c:v>37</c:v>
                </c:pt>
                <c:pt idx="83">
                  <c:v>43</c:v>
                </c:pt>
                <c:pt idx="84">
                  <c:v>41</c:v>
                </c:pt>
                <c:pt idx="85">
                  <c:v>40</c:v>
                </c:pt>
                <c:pt idx="86">
                  <c:v>36</c:v>
                </c:pt>
                <c:pt idx="87">
                  <c:v>40</c:v>
                </c:pt>
                <c:pt idx="88">
                  <c:v>37</c:v>
                </c:pt>
                <c:pt idx="89">
                  <c:v>42</c:v>
                </c:pt>
                <c:pt idx="90">
                  <c:v>61</c:v>
                </c:pt>
                <c:pt idx="91">
                  <c:v>64</c:v>
                </c:pt>
                <c:pt idx="92">
                  <c:v>47</c:v>
                </c:pt>
                <c:pt idx="93">
                  <c:v>100</c:v>
                </c:pt>
                <c:pt idx="94">
                  <c:v>57</c:v>
                </c:pt>
                <c:pt idx="95">
                  <c:v>66</c:v>
                </c:pt>
                <c:pt idx="96">
                  <c:v>80</c:v>
                </c:pt>
                <c:pt idx="97">
                  <c:v>71</c:v>
                </c:pt>
                <c:pt idx="98">
                  <c:v>58</c:v>
                </c:pt>
                <c:pt idx="99">
                  <c:v>67</c:v>
                </c:pt>
                <c:pt idx="100">
                  <c:v>63</c:v>
                </c:pt>
                <c:pt idx="101">
                  <c:v>63</c:v>
                </c:pt>
                <c:pt idx="102">
                  <c:v>59</c:v>
                </c:pt>
                <c:pt idx="103">
                  <c:v>52</c:v>
                </c:pt>
                <c:pt idx="104">
                  <c:v>46</c:v>
                </c:pt>
                <c:pt idx="105">
                  <c:v>53</c:v>
                </c:pt>
                <c:pt idx="106">
                  <c:v>55</c:v>
                </c:pt>
                <c:pt idx="107">
                  <c:v>64</c:v>
                </c:pt>
                <c:pt idx="108">
                  <c:v>63</c:v>
                </c:pt>
                <c:pt idx="109">
                  <c:v>61</c:v>
                </c:pt>
                <c:pt idx="110">
                  <c:v>59</c:v>
                </c:pt>
                <c:pt idx="111">
                  <c:v>59</c:v>
                </c:pt>
                <c:pt idx="112">
                  <c:v>49</c:v>
                </c:pt>
                <c:pt idx="113">
                  <c:v>48</c:v>
                </c:pt>
                <c:pt idx="114">
                  <c:v>40</c:v>
                </c:pt>
                <c:pt idx="115">
                  <c:v>37</c:v>
                </c:pt>
                <c:pt idx="116">
                  <c:v>36</c:v>
                </c:pt>
                <c:pt idx="117">
                  <c:v>37</c:v>
                </c:pt>
                <c:pt idx="118">
                  <c:v>42</c:v>
                </c:pt>
                <c:pt idx="119">
                  <c:v>34</c:v>
                </c:pt>
                <c:pt idx="120">
                  <c:v>41</c:v>
                </c:pt>
                <c:pt idx="121">
                  <c:v>45</c:v>
                </c:pt>
                <c:pt idx="122">
                  <c:v>48</c:v>
                </c:pt>
                <c:pt idx="123">
                  <c:v>49</c:v>
                </c:pt>
                <c:pt idx="124">
                  <c:v>39</c:v>
                </c:pt>
                <c:pt idx="125">
                  <c:v>46</c:v>
                </c:pt>
                <c:pt idx="126">
                  <c:v>44</c:v>
                </c:pt>
                <c:pt idx="127">
                  <c:v>32</c:v>
                </c:pt>
              </c:numCache>
            </c:numRef>
          </c:val>
          <c:smooth val="0"/>
          <c:extLst>
            <c:ext xmlns:c16="http://schemas.microsoft.com/office/drawing/2014/chart" uri="{C3380CC4-5D6E-409C-BE32-E72D297353CC}">
              <c16:uniqueId val="{00000000-E8DB-4FFD-B9C0-ACFB367344BF}"/>
            </c:ext>
          </c:extLst>
        </c:ser>
        <c:ser>
          <c:idx val="1"/>
          <c:order val="1"/>
          <c:tx>
            <c:strRef>
              <c:f>'More Variants'!$C$3</c:f>
              <c:strCache>
                <c:ptCount val="1"/>
                <c:pt idx="0">
                  <c:v>omicron COVID: (United Kingdom)</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'More Variants'!$A$4:$A$131</c:f>
              <c:numCache>
                <c:formatCode>m/d/yyyy</c:formatCode>
                <c:ptCount val="128"/>
                <c:pt idx="0">
                  <c:v>43891</c:v>
                </c:pt>
                <c:pt idx="1">
                  <c:v>43898</c:v>
                </c:pt>
                <c:pt idx="2">
                  <c:v>43905</c:v>
                </c:pt>
                <c:pt idx="3">
                  <c:v>43912</c:v>
                </c:pt>
                <c:pt idx="4">
                  <c:v>43919</c:v>
                </c:pt>
                <c:pt idx="5">
                  <c:v>43926</c:v>
                </c:pt>
                <c:pt idx="6">
                  <c:v>43933</c:v>
                </c:pt>
                <c:pt idx="7">
                  <c:v>43940</c:v>
                </c:pt>
                <c:pt idx="8">
                  <c:v>43947</c:v>
                </c:pt>
                <c:pt idx="9">
                  <c:v>43954</c:v>
                </c:pt>
                <c:pt idx="10">
                  <c:v>43961</c:v>
                </c:pt>
                <c:pt idx="11">
                  <c:v>43968</c:v>
                </c:pt>
                <c:pt idx="12">
                  <c:v>43975</c:v>
                </c:pt>
                <c:pt idx="13">
                  <c:v>43982</c:v>
                </c:pt>
                <c:pt idx="14">
                  <c:v>43989</c:v>
                </c:pt>
                <c:pt idx="15">
                  <c:v>43996</c:v>
                </c:pt>
                <c:pt idx="16">
                  <c:v>44003</c:v>
                </c:pt>
                <c:pt idx="17">
                  <c:v>44010</c:v>
                </c:pt>
                <c:pt idx="18">
                  <c:v>44017</c:v>
                </c:pt>
                <c:pt idx="19">
                  <c:v>44024</c:v>
                </c:pt>
                <c:pt idx="20">
                  <c:v>44031</c:v>
                </c:pt>
                <c:pt idx="21">
                  <c:v>44038</c:v>
                </c:pt>
                <c:pt idx="22">
                  <c:v>44045</c:v>
                </c:pt>
                <c:pt idx="23">
                  <c:v>44052</c:v>
                </c:pt>
                <c:pt idx="24">
                  <c:v>44059</c:v>
                </c:pt>
                <c:pt idx="25">
                  <c:v>44066</c:v>
                </c:pt>
                <c:pt idx="26">
                  <c:v>44073</c:v>
                </c:pt>
                <c:pt idx="27">
                  <c:v>44080</c:v>
                </c:pt>
                <c:pt idx="28">
                  <c:v>44087</c:v>
                </c:pt>
                <c:pt idx="29">
                  <c:v>44094</c:v>
                </c:pt>
                <c:pt idx="30">
                  <c:v>44101</c:v>
                </c:pt>
                <c:pt idx="31">
                  <c:v>44108</c:v>
                </c:pt>
                <c:pt idx="32">
                  <c:v>44115</c:v>
                </c:pt>
                <c:pt idx="33">
                  <c:v>44122</c:v>
                </c:pt>
                <c:pt idx="34">
                  <c:v>44129</c:v>
                </c:pt>
                <c:pt idx="35">
                  <c:v>44136</c:v>
                </c:pt>
                <c:pt idx="36">
                  <c:v>44143</c:v>
                </c:pt>
                <c:pt idx="37">
                  <c:v>44150</c:v>
                </c:pt>
                <c:pt idx="38">
                  <c:v>44157</c:v>
                </c:pt>
                <c:pt idx="39">
                  <c:v>44164</c:v>
                </c:pt>
                <c:pt idx="40">
                  <c:v>44171</c:v>
                </c:pt>
                <c:pt idx="41">
                  <c:v>44178</c:v>
                </c:pt>
                <c:pt idx="42">
                  <c:v>44185</c:v>
                </c:pt>
                <c:pt idx="43">
                  <c:v>44192</c:v>
                </c:pt>
                <c:pt idx="44">
                  <c:v>44199</c:v>
                </c:pt>
                <c:pt idx="45">
                  <c:v>44206</c:v>
                </c:pt>
                <c:pt idx="46">
                  <c:v>44213</c:v>
                </c:pt>
                <c:pt idx="47">
                  <c:v>44220</c:v>
                </c:pt>
                <c:pt idx="48">
                  <c:v>44227</c:v>
                </c:pt>
                <c:pt idx="49">
                  <c:v>44234</c:v>
                </c:pt>
                <c:pt idx="50">
                  <c:v>44241</c:v>
                </c:pt>
                <c:pt idx="51">
                  <c:v>44248</c:v>
                </c:pt>
                <c:pt idx="52">
                  <c:v>44255</c:v>
                </c:pt>
                <c:pt idx="53">
                  <c:v>44262</c:v>
                </c:pt>
                <c:pt idx="54">
                  <c:v>44269</c:v>
                </c:pt>
                <c:pt idx="55">
                  <c:v>44276</c:v>
                </c:pt>
                <c:pt idx="56">
                  <c:v>44283</c:v>
                </c:pt>
                <c:pt idx="57">
                  <c:v>44290</c:v>
                </c:pt>
                <c:pt idx="58">
                  <c:v>44297</c:v>
                </c:pt>
                <c:pt idx="59">
                  <c:v>44304</c:v>
                </c:pt>
                <c:pt idx="60">
                  <c:v>44311</c:v>
                </c:pt>
                <c:pt idx="61">
                  <c:v>44318</c:v>
                </c:pt>
                <c:pt idx="62">
                  <c:v>44325</c:v>
                </c:pt>
                <c:pt idx="63">
                  <c:v>44332</c:v>
                </c:pt>
                <c:pt idx="64">
                  <c:v>44339</c:v>
                </c:pt>
                <c:pt idx="65">
                  <c:v>44346</c:v>
                </c:pt>
                <c:pt idx="66">
                  <c:v>44353</c:v>
                </c:pt>
                <c:pt idx="67">
                  <c:v>44360</c:v>
                </c:pt>
                <c:pt idx="68">
                  <c:v>44367</c:v>
                </c:pt>
                <c:pt idx="69">
                  <c:v>44374</c:v>
                </c:pt>
                <c:pt idx="70">
                  <c:v>44381</c:v>
                </c:pt>
                <c:pt idx="71">
                  <c:v>44388</c:v>
                </c:pt>
                <c:pt idx="72">
                  <c:v>44395</c:v>
                </c:pt>
                <c:pt idx="73">
                  <c:v>44402</c:v>
                </c:pt>
                <c:pt idx="74">
                  <c:v>44409</c:v>
                </c:pt>
                <c:pt idx="75">
                  <c:v>44416</c:v>
                </c:pt>
                <c:pt idx="76">
                  <c:v>44423</c:v>
                </c:pt>
                <c:pt idx="77">
                  <c:v>44430</c:v>
                </c:pt>
                <c:pt idx="78">
                  <c:v>44437</c:v>
                </c:pt>
                <c:pt idx="79">
                  <c:v>44444</c:v>
                </c:pt>
                <c:pt idx="80">
                  <c:v>44451</c:v>
                </c:pt>
                <c:pt idx="81">
                  <c:v>44458</c:v>
                </c:pt>
                <c:pt idx="82">
                  <c:v>44465</c:v>
                </c:pt>
                <c:pt idx="83">
                  <c:v>44472</c:v>
                </c:pt>
                <c:pt idx="84">
                  <c:v>44479</c:v>
                </c:pt>
                <c:pt idx="85">
                  <c:v>44486</c:v>
                </c:pt>
                <c:pt idx="86">
                  <c:v>44493</c:v>
                </c:pt>
                <c:pt idx="87">
                  <c:v>44500</c:v>
                </c:pt>
                <c:pt idx="88">
                  <c:v>44507</c:v>
                </c:pt>
                <c:pt idx="89">
                  <c:v>44514</c:v>
                </c:pt>
                <c:pt idx="90">
                  <c:v>44521</c:v>
                </c:pt>
                <c:pt idx="91">
                  <c:v>44528</c:v>
                </c:pt>
                <c:pt idx="92">
                  <c:v>44535</c:v>
                </c:pt>
                <c:pt idx="93">
                  <c:v>44542</c:v>
                </c:pt>
                <c:pt idx="94">
                  <c:v>44549</c:v>
                </c:pt>
                <c:pt idx="95">
                  <c:v>44556</c:v>
                </c:pt>
                <c:pt idx="96">
                  <c:v>44563</c:v>
                </c:pt>
                <c:pt idx="97">
                  <c:v>44570</c:v>
                </c:pt>
                <c:pt idx="98">
                  <c:v>44577</c:v>
                </c:pt>
                <c:pt idx="99">
                  <c:v>44584</c:v>
                </c:pt>
                <c:pt idx="100">
                  <c:v>44591</c:v>
                </c:pt>
                <c:pt idx="101">
                  <c:v>44598</c:v>
                </c:pt>
                <c:pt idx="102">
                  <c:v>44605</c:v>
                </c:pt>
                <c:pt idx="103">
                  <c:v>44612</c:v>
                </c:pt>
                <c:pt idx="104">
                  <c:v>44619</c:v>
                </c:pt>
                <c:pt idx="105">
                  <c:v>44626</c:v>
                </c:pt>
                <c:pt idx="106">
                  <c:v>44633</c:v>
                </c:pt>
                <c:pt idx="107">
                  <c:v>44640</c:v>
                </c:pt>
                <c:pt idx="108">
                  <c:v>44647</c:v>
                </c:pt>
                <c:pt idx="109">
                  <c:v>44654</c:v>
                </c:pt>
                <c:pt idx="110">
                  <c:v>44661</c:v>
                </c:pt>
                <c:pt idx="111">
                  <c:v>44668</c:v>
                </c:pt>
                <c:pt idx="112">
                  <c:v>44675</c:v>
                </c:pt>
                <c:pt idx="113">
                  <c:v>44682</c:v>
                </c:pt>
                <c:pt idx="114">
                  <c:v>44689</c:v>
                </c:pt>
                <c:pt idx="115">
                  <c:v>44696</c:v>
                </c:pt>
                <c:pt idx="116">
                  <c:v>44703</c:v>
                </c:pt>
                <c:pt idx="117">
                  <c:v>44710</c:v>
                </c:pt>
                <c:pt idx="118">
                  <c:v>44717</c:v>
                </c:pt>
                <c:pt idx="119">
                  <c:v>44724</c:v>
                </c:pt>
                <c:pt idx="120">
                  <c:v>44731</c:v>
                </c:pt>
                <c:pt idx="121">
                  <c:v>44738</c:v>
                </c:pt>
                <c:pt idx="122">
                  <c:v>44745</c:v>
                </c:pt>
                <c:pt idx="123">
                  <c:v>44752</c:v>
                </c:pt>
                <c:pt idx="124">
                  <c:v>44759</c:v>
                </c:pt>
                <c:pt idx="125">
                  <c:v>44766</c:v>
                </c:pt>
                <c:pt idx="126">
                  <c:v>44773</c:v>
                </c:pt>
                <c:pt idx="127">
                  <c:v>44780</c:v>
                </c:pt>
              </c:numCache>
            </c:numRef>
          </c:cat>
          <c:val>
            <c:numRef>
              <c:f>'More Variants'!$C$4:$C$131</c:f>
              <c:numCache>
                <c:formatCode>General</c:formatCode>
                <c:ptCount val="128"/>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11</c:v>
                </c:pt>
                <c:pt idx="91">
                  <c:v>53</c:v>
                </c:pt>
                <c:pt idx="92">
                  <c:v>56</c:v>
                </c:pt>
                <c:pt idx="93">
                  <c:v>100</c:v>
                </c:pt>
                <c:pt idx="94">
                  <c:v>82</c:v>
                </c:pt>
                <c:pt idx="95">
                  <c:v>82</c:v>
                </c:pt>
                <c:pt idx="96">
                  <c:v>46</c:v>
                </c:pt>
                <c:pt idx="97">
                  <c:v>28</c:v>
                </c:pt>
                <c:pt idx="98">
                  <c:v>22</c:v>
                </c:pt>
                <c:pt idx="99">
                  <c:v>21</c:v>
                </c:pt>
                <c:pt idx="100">
                  <c:v>17</c:v>
                </c:pt>
                <c:pt idx="101">
                  <c:v>14</c:v>
                </c:pt>
                <c:pt idx="102">
                  <c:v>11</c:v>
                </c:pt>
                <c:pt idx="103">
                  <c:v>9</c:v>
                </c:pt>
                <c:pt idx="104">
                  <c:v>8</c:v>
                </c:pt>
                <c:pt idx="105">
                  <c:v>11</c:v>
                </c:pt>
                <c:pt idx="106">
                  <c:v>13</c:v>
                </c:pt>
                <c:pt idx="107">
                  <c:v>14</c:v>
                </c:pt>
                <c:pt idx="108">
                  <c:v>12</c:v>
                </c:pt>
                <c:pt idx="109">
                  <c:v>9</c:v>
                </c:pt>
                <c:pt idx="110">
                  <c:v>7</c:v>
                </c:pt>
                <c:pt idx="111">
                  <c:v>7</c:v>
                </c:pt>
                <c:pt idx="112">
                  <c:v>3</c:v>
                </c:pt>
                <c:pt idx="113">
                  <c:v>4</c:v>
                </c:pt>
                <c:pt idx="114">
                  <c:v>3</c:v>
                </c:pt>
                <c:pt idx="115">
                  <c:v>2</c:v>
                </c:pt>
                <c:pt idx="116">
                  <c:v>3</c:v>
                </c:pt>
                <c:pt idx="117">
                  <c:v>2</c:v>
                </c:pt>
                <c:pt idx="118">
                  <c:v>2</c:v>
                </c:pt>
                <c:pt idx="119">
                  <c:v>3</c:v>
                </c:pt>
                <c:pt idx="120">
                  <c:v>4</c:v>
                </c:pt>
                <c:pt idx="121">
                  <c:v>5</c:v>
                </c:pt>
                <c:pt idx="122">
                  <c:v>7</c:v>
                </c:pt>
                <c:pt idx="123">
                  <c:v>5</c:v>
                </c:pt>
                <c:pt idx="124">
                  <c:v>4</c:v>
                </c:pt>
                <c:pt idx="125">
                  <c:v>4</c:v>
                </c:pt>
                <c:pt idx="126">
                  <c:v>2</c:v>
                </c:pt>
                <c:pt idx="127">
                  <c:v>1</c:v>
                </c:pt>
              </c:numCache>
            </c:numRef>
          </c:val>
          <c:smooth val="0"/>
          <c:extLst>
            <c:ext xmlns:c16="http://schemas.microsoft.com/office/drawing/2014/chart" uri="{C3380CC4-5D6E-409C-BE32-E72D297353CC}">
              <c16:uniqueId val="{00000001-E8DB-4FFD-B9C0-ACFB367344BF}"/>
            </c:ext>
          </c:extLst>
        </c:ser>
        <c:ser>
          <c:idx val="2"/>
          <c:order val="2"/>
          <c:tx>
            <c:strRef>
              <c:f>'More Variants'!$D$3</c:f>
              <c:strCache>
                <c:ptCount val="1"/>
                <c:pt idx="0">
                  <c:v>delta COVID: (United Kingdom)</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f>'More Variants'!$A$4:$A$131</c:f>
              <c:numCache>
                <c:formatCode>m/d/yyyy</c:formatCode>
                <c:ptCount val="128"/>
                <c:pt idx="0">
                  <c:v>43891</c:v>
                </c:pt>
                <c:pt idx="1">
                  <c:v>43898</c:v>
                </c:pt>
                <c:pt idx="2">
                  <c:v>43905</c:v>
                </c:pt>
                <c:pt idx="3">
                  <c:v>43912</c:v>
                </c:pt>
                <c:pt idx="4">
                  <c:v>43919</c:v>
                </c:pt>
                <c:pt idx="5">
                  <c:v>43926</c:v>
                </c:pt>
                <c:pt idx="6">
                  <c:v>43933</c:v>
                </c:pt>
                <c:pt idx="7">
                  <c:v>43940</c:v>
                </c:pt>
                <c:pt idx="8">
                  <c:v>43947</c:v>
                </c:pt>
                <c:pt idx="9">
                  <c:v>43954</c:v>
                </c:pt>
                <c:pt idx="10">
                  <c:v>43961</c:v>
                </c:pt>
                <c:pt idx="11">
                  <c:v>43968</c:v>
                </c:pt>
                <c:pt idx="12">
                  <c:v>43975</c:v>
                </c:pt>
                <c:pt idx="13">
                  <c:v>43982</c:v>
                </c:pt>
                <c:pt idx="14">
                  <c:v>43989</c:v>
                </c:pt>
                <c:pt idx="15">
                  <c:v>43996</c:v>
                </c:pt>
                <c:pt idx="16">
                  <c:v>44003</c:v>
                </c:pt>
                <c:pt idx="17">
                  <c:v>44010</c:v>
                </c:pt>
                <c:pt idx="18">
                  <c:v>44017</c:v>
                </c:pt>
                <c:pt idx="19">
                  <c:v>44024</c:v>
                </c:pt>
                <c:pt idx="20">
                  <c:v>44031</c:v>
                </c:pt>
                <c:pt idx="21">
                  <c:v>44038</c:v>
                </c:pt>
                <c:pt idx="22">
                  <c:v>44045</c:v>
                </c:pt>
                <c:pt idx="23">
                  <c:v>44052</c:v>
                </c:pt>
                <c:pt idx="24">
                  <c:v>44059</c:v>
                </c:pt>
                <c:pt idx="25">
                  <c:v>44066</c:v>
                </c:pt>
                <c:pt idx="26">
                  <c:v>44073</c:v>
                </c:pt>
                <c:pt idx="27">
                  <c:v>44080</c:v>
                </c:pt>
                <c:pt idx="28">
                  <c:v>44087</c:v>
                </c:pt>
                <c:pt idx="29">
                  <c:v>44094</c:v>
                </c:pt>
                <c:pt idx="30">
                  <c:v>44101</c:v>
                </c:pt>
                <c:pt idx="31">
                  <c:v>44108</c:v>
                </c:pt>
                <c:pt idx="32">
                  <c:v>44115</c:v>
                </c:pt>
                <c:pt idx="33">
                  <c:v>44122</c:v>
                </c:pt>
                <c:pt idx="34">
                  <c:v>44129</c:v>
                </c:pt>
                <c:pt idx="35">
                  <c:v>44136</c:v>
                </c:pt>
                <c:pt idx="36">
                  <c:v>44143</c:v>
                </c:pt>
                <c:pt idx="37">
                  <c:v>44150</c:v>
                </c:pt>
                <c:pt idx="38">
                  <c:v>44157</c:v>
                </c:pt>
                <c:pt idx="39">
                  <c:v>44164</c:v>
                </c:pt>
                <c:pt idx="40">
                  <c:v>44171</c:v>
                </c:pt>
                <c:pt idx="41">
                  <c:v>44178</c:v>
                </c:pt>
                <c:pt idx="42">
                  <c:v>44185</c:v>
                </c:pt>
                <c:pt idx="43">
                  <c:v>44192</c:v>
                </c:pt>
                <c:pt idx="44">
                  <c:v>44199</c:v>
                </c:pt>
                <c:pt idx="45">
                  <c:v>44206</c:v>
                </c:pt>
                <c:pt idx="46">
                  <c:v>44213</c:v>
                </c:pt>
                <c:pt idx="47">
                  <c:v>44220</c:v>
                </c:pt>
                <c:pt idx="48">
                  <c:v>44227</c:v>
                </c:pt>
                <c:pt idx="49">
                  <c:v>44234</c:v>
                </c:pt>
                <c:pt idx="50">
                  <c:v>44241</c:v>
                </c:pt>
                <c:pt idx="51">
                  <c:v>44248</c:v>
                </c:pt>
                <c:pt idx="52">
                  <c:v>44255</c:v>
                </c:pt>
                <c:pt idx="53">
                  <c:v>44262</c:v>
                </c:pt>
                <c:pt idx="54">
                  <c:v>44269</c:v>
                </c:pt>
                <c:pt idx="55">
                  <c:v>44276</c:v>
                </c:pt>
                <c:pt idx="56">
                  <c:v>44283</c:v>
                </c:pt>
                <c:pt idx="57">
                  <c:v>44290</c:v>
                </c:pt>
                <c:pt idx="58">
                  <c:v>44297</c:v>
                </c:pt>
                <c:pt idx="59">
                  <c:v>44304</c:v>
                </c:pt>
                <c:pt idx="60">
                  <c:v>44311</c:v>
                </c:pt>
                <c:pt idx="61">
                  <c:v>44318</c:v>
                </c:pt>
                <c:pt idx="62">
                  <c:v>44325</c:v>
                </c:pt>
                <c:pt idx="63">
                  <c:v>44332</c:v>
                </c:pt>
                <c:pt idx="64">
                  <c:v>44339</c:v>
                </c:pt>
                <c:pt idx="65">
                  <c:v>44346</c:v>
                </c:pt>
                <c:pt idx="66">
                  <c:v>44353</c:v>
                </c:pt>
                <c:pt idx="67">
                  <c:v>44360</c:v>
                </c:pt>
                <c:pt idx="68">
                  <c:v>44367</c:v>
                </c:pt>
                <c:pt idx="69">
                  <c:v>44374</c:v>
                </c:pt>
                <c:pt idx="70">
                  <c:v>44381</c:v>
                </c:pt>
                <c:pt idx="71">
                  <c:v>44388</c:v>
                </c:pt>
                <c:pt idx="72">
                  <c:v>44395</c:v>
                </c:pt>
                <c:pt idx="73">
                  <c:v>44402</c:v>
                </c:pt>
                <c:pt idx="74">
                  <c:v>44409</c:v>
                </c:pt>
                <c:pt idx="75">
                  <c:v>44416</c:v>
                </c:pt>
                <c:pt idx="76">
                  <c:v>44423</c:v>
                </c:pt>
                <c:pt idx="77">
                  <c:v>44430</c:v>
                </c:pt>
                <c:pt idx="78">
                  <c:v>44437</c:v>
                </c:pt>
                <c:pt idx="79">
                  <c:v>44444</c:v>
                </c:pt>
                <c:pt idx="80">
                  <c:v>44451</c:v>
                </c:pt>
                <c:pt idx="81">
                  <c:v>44458</c:v>
                </c:pt>
                <c:pt idx="82">
                  <c:v>44465</c:v>
                </c:pt>
                <c:pt idx="83">
                  <c:v>44472</c:v>
                </c:pt>
                <c:pt idx="84">
                  <c:v>44479</c:v>
                </c:pt>
                <c:pt idx="85">
                  <c:v>44486</c:v>
                </c:pt>
                <c:pt idx="86">
                  <c:v>44493</c:v>
                </c:pt>
                <c:pt idx="87">
                  <c:v>44500</c:v>
                </c:pt>
                <c:pt idx="88">
                  <c:v>44507</c:v>
                </c:pt>
                <c:pt idx="89">
                  <c:v>44514</c:v>
                </c:pt>
                <c:pt idx="90">
                  <c:v>44521</c:v>
                </c:pt>
                <c:pt idx="91">
                  <c:v>44528</c:v>
                </c:pt>
                <c:pt idx="92">
                  <c:v>44535</c:v>
                </c:pt>
                <c:pt idx="93">
                  <c:v>44542</c:v>
                </c:pt>
                <c:pt idx="94">
                  <c:v>44549</c:v>
                </c:pt>
                <c:pt idx="95">
                  <c:v>44556</c:v>
                </c:pt>
                <c:pt idx="96">
                  <c:v>44563</c:v>
                </c:pt>
                <c:pt idx="97">
                  <c:v>44570</c:v>
                </c:pt>
                <c:pt idx="98">
                  <c:v>44577</c:v>
                </c:pt>
                <c:pt idx="99">
                  <c:v>44584</c:v>
                </c:pt>
                <c:pt idx="100">
                  <c:v>44591</c:v>
                </c:pt>
                <c:pt idx="101">
                  <c:v>44598</c:v>
                </c:pt>
                <c:pt idx="102">
                  <c:v>44605</c:v>
                </c:pt>
                <c:pt idx="103">
                  <c:v>44612</c:v>
                </c:pt>
                <c:pt idx="104">
                  <c:v>44619</c:v>
                </c:pt>
                <c:pt idx="105">
                  <c:v>44626</c:v>
                </c:pt>
                <c:pt idx="106">
                  <c:v>44633</c:v>
                </c:pt>
                <c:pt idx="107">
                  <c:v>44640</c:v>
                </c:pt>
                <c:pt idx="108">
                  <c:v>44647</c:v>
                </c:pt>
                <c:pt idx="109">
                  <c:v>44654</c:v>
                </c:pt>
                <c:pt idx="110">
                  <c:v>44661</c:v>
                </c:pt>
                <c:pt idx="111">
                  <c:v>44668</c:v>
                </c:pt>
                <c:pt idx="112">
                  <c:v>44675</c:v>
                </c:pt>
                <c:pt idx="113">
                  <c:v>44682</c:v>
                </c:pt>
                <c:pt idx="114">
                  <c:v>44689</c:v>
                </c:pt>
                <c:pt idx="115">
                  <c:v>44696</c:v>
                </c:pt>
                <c:pt idx="116">
                  <c:v>44703</c:v>
                </c:pt>
                <c:pt idx="117">
                  <c:v>44710</c:v>
                </c:pt>
                <c:pt idx="118">
                  <c:v>44717</c:v>
                </c:pt>
                <c:pt idx="119">
                  <c:v>44724</c:v>
                </c:pt>
                <c:pt idx="120">
                  <c:v>44731</c:v>
                </c:pt>
                <c:pt idx="121">
                  <c:v>44738</c:v>
                </c:pt>
                <c:pt idx="122">
                  <c:v>44745</c:v>
                </c:pt>
                <c:pt idx="123">
                  <c:v>44752</c:v>
                </c:pt>
                <c:pt idx="124">
                  <c:v>44759</c:v>
                </c:pt>
                <c:pt idx="125">
                  <c:v>44766</c:v>
                </c:pt>
                <c:pt idx="126">
                  <c:v>44773</c:v>
                </c:pt>
                <c:pt idx="127">
                  <c:v>44780</c:v>
                </c:pt>
              </c:numCache>
            </c:numRef>
          </c:cat>
          <c:val>
            <c:numRef>
              <c:f>'More Variants'!$D$4:$D$131</c:f>
              <c:numCache>
                <c:formatCode>General</c:formatCode>
                <c:ptCount val="128"/>
                <c:pt idx="0">
                  <c:v>1</c:v>
                </c:pt>
                <c:pt idx="1">
                  <c:v>0</c:v>
                </c:pt>
                <c:pt idx="2">
                  <c:v>1</c:v>
                </c:pt>
                <c:pt idx="3">
                  <c:v>0</c:v>
                </c:pt>
                <c:pt idx="4">
                  <c:v>0</c:v>
                </c:pt>
                <c:pt idx="5">
                  <c:v>1</c:v>
                </c:pt>
                <c:pt idx="6">
                  <c:v>0</c:v>
                </c:pt>
                <c:pt idx="7">
                  <c:v>1</c:v>
                </c:pt>
                <c:pt idx="8">
                  <c:v>0</c:v>
                </c:pt>
                <c:pt idx="9">
                  <c:v>0</c:v>
                </c:pt>
                <c:pt idx="10">
                  <c:v>0</c:v>
                </c:pt>
                <c:pt idx="11">
                  <c:v>1</c:v>
                </c:pt>
                <c:pt idx="12">
                  <c:v>0</c:v>
                </c:pt>
                <c:pt idx="13">
                  <c:v>0</c:v>
                </c:pt>
                <c:pt idx="14">
                  <c:v>0</c:v>
                </c:pt>
                <c:pt idx="15">
                  <c:v>0</c:v>
                </c:pt>
                <c:pt idx="16">
                  <c:v>1</c:v>
                </c:pt>
                <c:pt idx="17">
                  <c:v>0</c:v>
                </c:pt>
                <c:pt idx="18">
                  <c:v>0</c:v>
                </c:pt>
                <c:pt idx="19">
                  <c:v>1</c:v>
                </c:pt>
                <c:pt idx="20">
                  <c:v>0</c:v>
                </c:pt>
                <c:pt idx="21">
                  <c:v>0</c:v>
                </c:pt>
                <c:pt idx="22">
                  <c:v>0</c:v>
                </c:pt>
                <c:pt idx="23">
                  <c:v>2</c:v>
                </c:pt>
                <c:pt idx="24">
                  <c:v>0</c:v>
                </c:pt>
                <c:pt idx="25">
                  <c:v>1</c:v>
                </c:pt>
                <c:pt idx="26">
                  <c:v>0</c:v>
                </c:pt>
                <c:pt idx="27">
                  <c:v>0</c:v>
                </c:pt>
                <c:pt idx="28">
                  <c:v>1</c:v>
                </c:pt>
                <c:pt idx="29">
                  <c:v>0</c:v>
                </c:pt>
                <c:pt idx="30">
                  <c:v>0</c:v>
                </c:pt>
                <c:pt idx="31">
                  <c:v>0</c:v>
                </c:pt>
                <c:pt idx="32">
                  <c:v>1</c:v>
                </c:pt>
                <c:pt idx="33">
                  <c:v>0</c:v>
                </c:pt>
                <c:pt idx="34">
                  <c:v>1</c:v>
                </c:pt>
                <c:pt idx="35">
                  <c:v>0</c:v>
                </c:pt>
                <c:pt idx="36">
                  <c:v>1</c:v>
                </c:pt>
                <c:pt idx="37">
                  <c:v>0</c:v>
                </c:pt>
                <c:pt idx="38">
                  <c:v>1</c:v>
                </c:pt>
                <c:pt idx="39">
                  <c:v>0</c:v>
                </c:pt>
                <c:pt idx="40">
                  <c:v>1</c:v>
                </c:pt>
                <c:pt idx="41">
                  <c:v>1</c:v>
                </c:pt>
                <c:pt idx="42">
                  <c:v>0</c:v>
                </c:pt>
                <c:pt idx="43">
                  <c:v>2</c:v>
                </c:pt>
                <c:pt idx="44">
                  <c:v>1</c:v>
                </c:pt>
                <c:pt idx="45">
                  <c:v>0</c:v>
                </c:pt>
                <c:pt idx="46">
                  <c:v>0</c:v>
                </c:pt>
                <c:pt idx="47">
                  <c:v>0</c:v>
                </c:pt>
                <c:pt idx="48">
                  <c:v>1</c:v>
                </c:pt>
                <c:pt idx="49">
                  <c:v>0</c:v>
                </c:pt>
                <c:pt idx="50">
                  <c:v>0</c:v>
                </c:pt>
                <c:pt idx="51">
                  <c:v>0</c:v>
                </c:pt>
                <c:pt idx="52">
                  <c:v>1</c:v>
                </c:pt>
                <c:pt idx="53">
                  <c:v>1</c:v>
                </c:pt>
                <c:pt idx="54">
                  <c:v>0</c:v>
                </c:pt>
                <c:pt idx="55">
                  <c:v>0</c:v>
                </c:pt>
                <c:pt idx="56">
                  <c:v>0</c:v>
                </c:pt>
                <c:pt idx="57">
                  <c:v>0</c:v>
                </c:pt>
                <c:pt idx="58">
                  <c:v>1</c:v>
                </c:pt>
                <c:pt idx="59">
                  <c:v>0</c:v>
                </c:pt>
                <c:pt idx="60">
                  <c:v>0</c:v>
                </c:pt>
                <c:pt idx="61">
                  <c:v>1</c:v>
                </c:pt>
                <c:pt idx="62">
                  <c:v>0</c:v>
                </c:pt>
                <c:pt idx="63">
                  <c:v>2</c:v>
                </c:pt>
                <c:pt idx="64">
                  <c:v>0</c:v>
                </c:pt>
                <c:pt idx="65">
                  <c:v>15</c:v>
                </c:pt>
                <c:pt idx="66">
                  <c:v>41</c:v>
                </c:pt>
                <c:pt idx="67">
                  <c:v>92</c:v>
                </c:pt>
                <c:pt idx="68">
                  <c:v>100</c:v>
                </c:pt>
                <c:pt idx="69">
                  <c:v>95</c:v>
                </c:pt>
                <c:pt idx="70">
                  <c:v>78</c:v>
                </c:pt>
                <c:pt idx="71">
                  <c:v>90</c:v>
                </c:pt>
                <c:pt idx="72">
                  <c:v>60</c:v>
                </c:pt>
                <c:pt idx="73">
                  <c:v>42</c:v>
                </c:pt>
                <c:pt idx="74">
                  <c:v>45</c:v>
                </c:pt>
                <c:pt idx="75">
                  <c:v>40</c:v>
                </c:pt>
                <c:pt idx="76">
                  <c:v>40</c:v>
                </c:pt>
                <c:pt idx="77">
                  <c:v>38</c:v>
                </c:pt>
                <c:pt idx="78">
                  <c:v>40</c:v>
                </c:pt>
                <c:pt idx="79">
                  <c:v>27</c:v>
                </c:pt>
                <c:pt idx="80">
                  <c:v>23</c:v>
                </c:pt>
                <c:pt idx="81">
                  <c:v>19</c:v>
                </c:pt>
                <c:pt idx="82">
                  <c:v>13</c:v>
                </c:pt>
                <c:pt idx="83">
                  <c:v>14</c:v>
                </c:pt>
                <c:pt idx="84">
                  <c:v>12</c:v>
                </c:pt>
                <c:pt idx="85">
                  <c:v>18</c:v>
                </c:pt>
                <c:pt idx="86">
                  <c:v>12</c:v>
                </c:pt>
                <c:pt idx="87">
                  <c:v>9</c:v>
                </c:pt>
                <c:pt idx="88">
                  <c:v>8</c:v>
                </c:pt>
                <c:pt idx="89">
                  <c:v>12</c:v>
                </c:pt>
                <c:pt idx="90">
                  <c:v>15</c:v>
                </c:pt>
                <c:pt idx="91">
                  <c:v>13</c:v>
                </c:pt>
                <c:pt idx="92">
                  <c:v>14</c:v>
                </c:pt>
                <c:pt idx="93">
                  <c:v>23</c:v>
                </c:pt>
                <c:pt idx="94">
                  <c:v>24</c:v>
                </c:pt>
                <c:pt idx="95">
                  <c:v>19</c:v>
                </c:pt>
                <c:pt idx="96">
                  <c:v>15</c:v>
                </c:pt>
                <c:pt idx="97">
                  <c:v>10</c:v>
                </c:pt>
                <c:pt idx="98">
                  <c:v>6</c:v>
                </c:pt>
                <c:pt idx="99">
                  <c:v>7</c:v>
                </c:pt>
                <c:pt idx="100">
                  <c:v>6</c:v>
                </c:pt>
                <c:pt idx="101">
                  <c:v>5</c:v>
                </c:pt>
                <c:pt idx="102">
                  <c:v>5</c:v>
                </c:pt>
                <c:pt idx="103">
                  <c:v>3</c:v>
                </c:pt>
                <c:pt idx="104">
                  <c:v>3</c:v>
                </c:pt>
                <c:pt idx="105">
                  <c:v>6</c:v>
                </c:pt>
                <c:pt idx="106">
                  <c:v>9</c:v>
                </c:pt>
                <c:pt idx="107">
                  <c:v>7</c:v>
                </c:pt>
                <c:pt idx="108">
                  <c:v>5</c:v>
                </c:pt>
                <c:pt idx="109">
                  <c:v>4</c:v>
                </c:pt>
                <c:pt idx="110">
                  <c:v>3</c:v>
                </c:pt>
                <c:pt idx="111">
                  <c:v>2</c:v>
                </c:pt>
                <c:pt idx="112">
                  <c:v>2</c:v>
                </c:pt>
                <c:pt idx="113">
                  <c:v>2</c:v>
                </c:pt>
                <c:pt idx="114">
                  <c:v>2</c:v>
                </c:pt>
                <c:pt idx="115">
                  <c:v>2</c:v>
                </c:pt>
                <c:pt idx="116">
                  <c:v>1</c:v>
                </c:pt>
                <c:pt idx="117">
                  <c:v>2</c:v>
                </c:pt>
                <c:pt idx="118">
                  <c:v>3</c:v>
                </c:pt>
                <c:pt idx="119">
                  <c:v>2</c:v>
                </c:pt>
                <c:pt idx="120">
                  <c:v>3</c:v>
                </c:pt>
                <c:pt idx="121">
                  <c:v>1</c:v>
                </c:pt>
                <c:pt idx="122">
                  <c:v>2</c:v>
                </c:pt>
                <c:pt idx="123">
                  <c:v>3</c:v>
                </c:pt>
                <c:pt idx="124">
                  <c:v>2</c:v>
                </c:pt>
                <c:pt idx="125">
                  <c:v>1</c:v>
                </c:pt>
                <c:pt idx="126">
                  <c:v>2</c:v>
                </c:pt>
                <c:pt idx="127">
                  <c:v>0</c:v>
                </c:pt>
              </c:numCache>
            </c:numRef>
          </c:val>
          <c:smooth val="0"/>
          <c:extLst>
            <c:ext xmlns:c16="http://schemas.microsoft.com/office/drawing/2014/chart" uri="{C3380CC4-5D6E-409C-BE32-E72D297353CC}">
              <c16:uniqueId val="{00000002-E8DB-4FFD-B9C0-ACFB367344BF}"/>
            </c:ext>
          </c:extLst>
        </c:ser>
        <c:dLbls>
          <c:showLegendKey val="0"/>
          <c:showVal val="0"/>
          <c:showCatName val="0"/>
          <c:showSerName val="0"/>
          <c:showPercent val="0"/>
          <c:showBubbleSize val="0"/>
        </c:dLbls>
        <c:marker val="1"/>
        <c:smooth val="0"/>
        <c:axId val="1157304159"/>
        <c:axId val="1123810287"/>
      </c:lineChart>
      <c:dateAx>
        <c:axId val="1157304159"/>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3810287"/>
        <c:crosses val="autoZero"/>
        <c:auto val="1"/>
        <c:lblOffset val="100"/>
        <c:baseTimeUnit val="days"/>
      </c:dateAx>
      <c:valAx>
        <c:axId val="11238102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73041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A940D9A7206E408864450ED57D539C" ma:contentTypeVersion="39" ma:contentTypeDescription="Create a new document." ma:contentTypeScope="" ma:versionID="2ca8639100f0365892503d9ce2973a25">
  <xsd:schema xmlns:xsd="http://www.w3.org/2001/XMLSchema" xmlns:xs="http://www.w3.org/2001/XMLSchema" xmlns:p="http://schemas.microsoft.com/office/2006/metadata/properties" xmlns:ns1="http://schemas.microsoft.com/sharepoint/v3" xmlns:ns2="c1b4e1ac-85d4-451c-80d5-34c8d54af234" xmlns:ns3="22693012-23ee-4cdf-b53f-a4a7b444a349" xmlns:ns4="ebd64cbd-6cf5-435c-bd4a-b8fc9bc14ad4" xmlns:ns5="cccaf3ac-2de9-44d4-aa31-54302fceb5f7" targetNamespace="http://schemas.microsoft.com/office/2006/metadata/properties" ma:root="true" ma:fieldsID="02baf296f6c782f9e120bd62c51a8451" ns1:_="" ns2:_="" ns3:_="" ns4:_="" ns5:_="">
    <xsd:import namespace="http://schemas.microsoft.com/sharepoint/v3"/>
    <xsd:import namespace="c1b4e1ac-85d4-451c-80d5-34c8d54af234"/>
    <xsd:import namespace="22693012-23ee-4cdf-b53f-a4a7b444a349"/>
    <xsd:import namespace="ebd64cbd-6cf5-435c-bd4a-b8fc9bc14ad4"/>
    <xsd:import namespace="cccaf3ac-2de9-44d4-aa31-54302fceb5f7"/>
    <xsd:element name="properties">
      <xsd:complexType>
        <xsd:sequence>
          <xsd:element name="documentManagement">
            <xsd:complexType>
              <xsd:all>
                <xsd:element ref="ns1:_ip_UnifiedCompliancePolicyProperties" minOccurs="0"/>
                <xsd:element ref="ns1:_ip_UnifiedCompliancePolicyUIAction" minOccurs="0"/>
                <xsd:element ref="ns2:SharedWithUsers" minOccurs="0"/>
                <xsd:element ref="ns2:SharedWithDetails" minOccurs="0"/>
                <xsd:element ref="ns3:Review_x0020_Date" minOccurs="0"/>
                <xsd:element ref="ns3:MediaServiceDateTaken" minOccurs="0"/>
                <xsd:element ref="ns4:SharedWithUsers" minOccurs="0"/>
                <xsd:element ref="ns4:SharedWithDetails" minOccurs="0"/>
                <xsd:element ref="ns3: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b4e1ac-85d4-451c-80d5-34c8d54af23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93012-23ee-4cdf-b53f-a4a7b444a349" elementFormDefault="qualified">
    <xsd:import namespace="http://schemas.microsoft.com/office/2006/documentManagement/types"/>
    <xsd:import namespace="http://schemas.microsoft.com/office/infopath/2007/PartnerControls"/>
    <xsd:element name="Review_x0020_Date" ma:index="12" nillable="true" ma:displayName="Review date" ma:indexed="true" ma:internalName="Review_x0020_Dat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43b0bdb-28a8-4814-9fb9-624c17c095f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bd64cbd-6cf5-435c-bd4a-b8fc9bc14ad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caf3ac-2de9-44d4-aa31-54302fceb5f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231dacd-326e-4c85-be6a-59c44c7bc009}" ma:internalName="TaxCatchAll" ma:showField="CatchAllData" ma:web="ebd64cbd-6cf5-435c-bd4a-b8fc9bc14a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ccaf3ac-2de9-44d4-aa31-54302fceb5f7" xsi:nil="true"/>
    <Review_x0020_Date xmlns="22693012-23ee-4cdf-b53f-a4a7b444a349" xsi:nil="true"/>
    <lcf76f155ced4ddcb4097134ff3c332f xmlns="22693012-23ee-4cdf-b53f-a4a7b444a34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8B2E6C-3AFF-4778-83E3-E6DBA2FED205}">
  <ds:schemaRefs>
    <ds:schemaRef ds:uri="http://schemas.microsoft.com/sharepoint/v3/contenttype/forms"/>
  </ds:schemaRefs>
</ds:datastoreItem>
</file>

<file path=customXml/itemProps2.xml><?xml version="1.0" encoding="utf-8"?>
<ds:datastoreItem xmlns:ds="http://schemas.openxmlformats.org/officeDocument/2006/customXml" ds:itemID="{791EC3F8-5A94-43F0-B415-76D1C8657C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b4e1ac-85d4-451c-80d5-34c8d54af234"/>
    <ds:schemaRef ds:uri="22693012-23ee-4cdf-b53f-a4a7b444a349"/>
    <ds:schemaRef ds:uri="ebd64cbd-6cf5-435c-bd4a-b8fc9bc14ad4"/>
    <ds:schemaRef ds:uri="cccaf3ac-2de9-44d4-aa31-54302fceb5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EA3514-9CFB-46D7-A39D-79DDB34F921B}">
  <ds:schemaRefs>
    <ds:schemaRef ds:uri="http://schemas.openxmlformats.org/officeDocument/2006/bibliography"/>
  </ds:schemaRefs>
</ds:datastoreItem>
</file>

<file path=customXml/itemProps4.xml><?xml version="1.0" encoding="utf-8"?>
<ds:datastoreItem xmlns:ds="http://schemas.openxmlformats.org/officeDocument/2006/customXml" ds:itemID="{B7D84775-BA11-4882-A876-9DE38F7B427F}">
  <ds:schemaRefs>
    <ds:schemaRef ds:uri="http://schemas.microsoft.com/office/2006/documentManagement/types"/>
    <ds:schemaRef ds:uri="http://purl.org/dc/elements/1.1/"/>
    <ds:schemaRef ds:uri="http://schemas.microsoft.com/sharepoint/v3"/>
    <ds:schemaRef ds:uri="http://schemas.microsoft.com/office/infopath/2007/PartnerControls"/>
    <ds:schemaRef ds:uri="http://schemas.openxmlformats.org/package/2006/metadata/core-properties"/>
    <ds:schemaRef ds:uri="ebd64cbd-6cf5-435c-bd4a-b8fc9bc14ad4"/>
    <ds:schemaRef ds:uri="http://purl.org/dc/terms/"/>
    <ds:schemaRef ds:uri="cccaf3ac-2de9-44d4-aa31-54302fceb5f7"/>
    <ds:schemaRef ds:uri="http://purl.org/dc/dcmitype/"/>
    <ds:schemaRef ds:uri="de587c14-41b6-4e2e-b26c-180f276ce706"/>
    <ds:schemaRef ds:uri="c1b4e1ac-85d4-451c-80d5-34c8d54af234"/>
    <ds:schemaRef ds:uri="http://schemas.microsoft.com/office/2006/metadata/properties"/>
    <ds:schemaRef ds:uri="http://www.w3.org/XML/1998/namespace"/>
    <ds:schemaRef ds:uri="22693012-23ee-4cdf-b53f-a4a7b444a34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2278</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Kamlesh Patel</dc:creator>
  <cp:keywords/>
  <dc:description/>
  <cp:lastModifiedBy>Emma Orrock</cp:lastModifiedBy>
  <cp:revision>2</cp:revision>
  <dcterms:created xsi:type="dcterms:W3CDTF">2023-04-28T16:32:00Z</dcterms:created>
  <dcterms:modified xsi:type="dcterms:W3CDTF">2023-04-28T16:32:00Z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0x01010098A940D9A7206E408864450ED57D539C</vt:lpwstr>
  </property>
  <property fmtid="{D5CDD505-2E9C-101B-9397-08002B2CF9AE}" pid="3" name="MediaServiceImageTags">
    <vt:lpwstr/>
  </property>
</Properties>
</file>