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8F9CC0" w14:textId="6603D038" w:rsidR="0040402C" w:rsidRDefault="0040402C" w:rsidP="0040402C">
      <w:pPr>
        <w:spacing w:line="240" w:lineRule="auto"/>
        <w:jc w:val="right"/>
        <w:rPr>
          <w:b/>
          <w:bCs/>
        </w:rPr>
      </w:pPr>
      <w:r>
        <w:rPr>
          <w:b/>
          <w:bCs/>
          <w:noProof/>
        </w:rPr>
        <w:drawing>
          <wp:inline distT="0" distB="0" distL="0" distR="0" wp14:anchorId="18022122" wp14:editId="6D376162">
            <wp:extent cx="2066671" cy="73883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11841" cy="754983"/>
                    </a:xfrm>
                    <a:prstGeom prst="rect">
                      <a:avLst/>
                    </a:prstGeom>
                    <a:noFill/>
                  </pic:spPr>
                </pic:pic>
              </a:graphicData>
            </a:graphic>
          </wp:inline>
        </w:drawing>
      </w:r>
    </w:p>
    <w:p w14:paraId="5CB0A855" w14:textId="6B23A400" w:rsidR="000E5DC4" w:rsidRDefault="00BA2C12" w:rsidP="000E5DC4">
      <w:pPr>
        <w:spacing w:line="240" w:lineRule="auto"/>
        <w:rPr>
          <w:b/>
          <w:bCs/>
        </w:rPr>
      </w:pPr>
      <w:r>
        <w:rPr>
          <w:b/>
          <w:bCs/>
        </w:rPr>
        <w:t xml:space="preserve">To what extent </w:t>
      </w:r>
      <w:r w:rsidRPr="005A6866">
        <w:rPr>
          <w:b/>
          <w:bCs/>
        </w:rPr>
        <w:t>have digital inequalities been exacerbated by the pandemic?</w:t>
      </w:r>
    </w:p>
    <w:p w14:paraId="25239635" w14:textId="297C1F4C" w:rsidR="00C26EA3" w:rsidRPr="00C26EA3" w:rsidRDefault="00C26EA3" w:rsidP="000E5DC4">
      <w:pPr>
        <w:spacing w:line="240" w:lineRule="auto"/>
        <w:rPr>
          <w:sz w:val="20"/>
          <w:szCs w:val="20"/>
        </w:rPr>
      </w:pPr>
      <w:r w:rsidRPr="00C26EA3">
        <w:rPr>
          <w:bCs/>
          <w:sz w:val="20"/>
          <w:szCs w:val="20"/>
        </w:rPr>
        <w:t>Rebecca Hall, Hayley Sharrod-Cole and Imad Ahmed</w:t>
      </w:r>
    </w:p>
    <w:p w14:paraId="4C5F5467" w14:textId="77777777" w:rsidR="000E5DC4" w:rsidRDefault="000E5DC4" w:rsidP="00D053C8">
      <w:pPr>
        <w:pStyle w:val="Heading2"/>
        <w:rPr>
          <w:rFonts w:asciiTheme="minorHAnsi" w:hAnsiTheme="minorHAnsi" w:cstheme="minorHAnsi"/>
          <w:color w:val="auto"/>
        </w:rPr>
      </w:pPr>
    </w:p>
    <w:p w14:paraId="39DCD8E6" w14:textId="0036AB89" w:rsidR="004B3B16" w:rsidRDefault="00BA2C12" w:rsidP="00D053C8">
      <w:pPr>
        <w:pStyle w:val="Heading2"/>
        <w:rPr>
          <w:rFonts w:asciiTheme="minorHAnsi" w:hAnsiTheme="minorHAnsi" w:cstheme="minorHAnsi"/>
          <w:color w:val="auto"/>
        </w:rPr>
      </w:pPr>
      <w:r>
        <w:rPr>
          <w:rFonts w:asciiTheme="minorHAnsi" w:hAnsiTheme="minorHAnsi" w:cstheme="minorHAnsi"/>
          <w:color w:val="auto"/>
        </w:rPr>
        <w:t>Aims of the review</w:t>
      </w:r>
    </w:p>
    <w:p w14:paraId="6879C785" w14:textId="0042449F" w:rsidR="00976C71" w:rsidRPr="005A6866" w:rsidRDefault="00BA2C12" w:rsidP="00A0348D">
      <w:pPr>
        <w:spacing w:line="240" w:lineRule="auto"/>
      </w:pPr>
      <w:r>
        <w:rPr>
          <w:b/>
          <w:bCs/>
        </w:rPr>
        <w:t>To identify the following:</w:t>
      </w:r>
    </w:p>
    <w:p w14:paraId="22E81C99" w14:textId="5B68EC1E" w:rsidR="00976C71" w:rsidRPr="005A6866" w:rsidRDefault="00976C71" w:rsidP="00A0348D">
      <w:pPr>
        <w:numPr>
          <w:ilvl w:val="0"/>
          <w:numId w:val="20"/>
        </w:numPr>
        <w:spacing w:line="240" w:lineRule="auto"/>
      </w:pPr>
      <w:r w:rsidRPr="005A6866">
        <w:t>What evidence exists of pre-pandemic digital inequality</w:t>
      </w:r>
      <w:r w:rsidR="000E5DC4">
        <w:t>.</w:t>
      </w:r>
    </w:p>
    <w:p w14:paraId="3D9DE6E9" w14:textId="53AEC1DC" w:rsidR="00976C71" w:rsidRPr="005A6866" w:rsidRDefault="00976C71" w:rsidP="00A0348D">
      <w:pPr>
        <w:numPr>
          <w:ilvl w:val="0"/>
          <w:numId w:val="20"/>
        </w:numPr>
        <w:spacing w:line="240" w:lineRule="auto"/>
      </w:pPr>
      <w:r w:rsidRPr="005A6866">
        <w:t xml:space="preserve">How </w:t>
      </w:r>
      <w:r w:rsidR="00BA2C12" w:rsidRPr="005A6866">
        <w:t>the pandemic</w:t>
      </w:r>
      <w:r w:rsidR="00BA2C12">
        <w:t xml:space="preserve"> </w:t>
      </w:r>
      <w:r w:rsidR="00FB58F4">
        <w:t xml:space="preserve">has </w:t>
      </w:r>
      <w:r w:rsidRPr="005A6866">
        <w:t>exacerbated digital inequality</w:t>
      </w:r>
      <w:r w:rsidR="00BA2C12">
        <w:t>.</w:t>
      </w:r>
    </w:p>
    <w:p w14:paraId="6DB03D80" w14:textId="57A3B876" w:rsidR="00976C71" w:rsidRPr="005A6866" w:rsidRDefault="00976C71" w:rsidP="00A0348D">
      <w:pPr>
        <w:numPr>
          <w:ilvl w:val="0"/>
          <w:numId w:val="20"/>
        </w:numPr>
        <w:spacing w:line="240" w:lineRule="auto"/>
      </w:pPr>
      <w:r w:rsidRPr="005A6866">
        <w:t>What measures were put in place to mitigate digital inequalities</w:t>
      </w:r>
      <w:r w:rsidR="000E5DC4">
        <w:t>.</w:t>
      </w:r>
    </w:p>
    <w:p w14:paraId="1D3454EF" w14:textId="009FDCD9" w:rsidR="00976C71" w:rsidRDefault="00976C71" w:rsidP="00A0348D">
      <w:pPr>
        <w:numPr>
          <w:ilvl w:val="0"/>
          <w:numId w:val="20"/>
        </w:numPr>
        <w:spacing w:line="240" w:lineRule="auto"/>
      </w:pPr>
      <w:r w:rsidRPr="005A6866">
        <w:t xml:space="preserve">How patients at risk of digital inequality </w:t>
      </w:r>
      <w:r w:rsidR="00DD5071">
        <w:t xml:space="preserve">are </w:t>
      </w:r>
      <w:r w:rsidRPr="005A6866">
        <w:t>identifiable going forward</w:t>
      </w:r>
      <w:r w:rsidR="0040402C">
        <w:t>.</w:t>
      </w:r>
    </w:p>
    <w:p w14:paraId="12E1B8BB" w14:textId="6EA96A7C" w:rsidR="006B4921" w:rsidRPr="005A6866" w:rsidRDefault="0040402C" w:rsidP="00A0348D">
      <w:pPr>
        <w:numPr>
          <w:ilvl w:val="0"/>
          <w:numId w:val="20"/>
        </w:numPr>
        <w:spacing w:line="240" w:lineRule="auto"/>
      </w:pPr>
      <w:r>
        <w:t xml:space="preserve">Recommendations and </w:t>
      </w:r>
      <w:r w:rsidR="006B4921">
        <w:t>Next Steps</w:t>
      </w:r>
      <w:r>
        <w:t>.</w:t>
      </w:r>
    </w:p>
    <w:p w14:paraId="4312DBA6" w14:textId="77777777" w:rsidR="00803905" w:rsidRPr="005A6866" w:rsidRDefault="00803905" w:rsidP="00803905">
      <w:pPr>
        <w:pStyle w:val="ListParagraph"/>
      </w:pPr>
    </w:p>
    <w:p w14:paraId="45815774" w14:textId="77777777" w:rsidR="004B3B16" w:rsidRDefault="004B3B16" w:rsidP="00D053C8">
      <w:pPr>
        <w:pStyle w:val="Heading2"/>
        <w:rPr>
          <w:rFonts w:asciiTheme="minorHAnsi" w:hAnsiTheme="minorHAnsi" w:cstheme="minorHAnsi"/>
          <w:b/>
          <w:bCs/>
          <w:color w:val="auto"/>
        </w:rPr>
      </w:pPr>
      <w:bookmarkStart w:id="0" w:name="_Toc13667126"/>
      <w:r w:rsidRPr="00DA7AB5">
        <w:rPr>
          <w:rFonts w:asciiTheme="minorHAnsi" w:hAnsiTheme="minorHAnsi" w:cstheme="minorHAnsi"/>
          <w:b/>
          <w:bCs/>
          <w:color w:val="auto"/>
        </w:rPr>
        <w:t>Introduction</w:t>
      </w:r>
      <w:bookmarkEnd w:id="0"/>
    </w:p>
    <w:p w14:paraId="0E04E96A" w14:textId="4071D14A" w:rsidR="00A0348D" w:rsidRPr="00DA7AB5" w:rsidRDefault="00A0348D" w:rsidP="00A0348D">
      <w:pPr>
        <w:shd w:val="clear" w:color="auto" w:fill="FFFFFF"/>
        <w:spacing w:after="0"/>
        <w:rPr>
          <w:color w:val="auto"/>
          <w:shd w:val="clear" w:color="auto" w:fill="FFFFFF"/>
        </w:rPr>
      </w:pPr>
      <w:r w:rsidRPr="00DA7AB5">
        <w:rPr>
          <w:color w:val="auto"/>
          <w:shd w:val="clear" w:color="auto" w:fill="FFFFFF"/>
        </w:rPr>
        <w:t>The COVID-19 pandemic is occurring within an environment of pre-existing social and economic inequalities in non-communicable diseases as well as inequalities in the social determinants of health. Not only are people in disadvantaged communities generally more prone to occupational exposure to the virus, but they also tend to have limited access to health care and higher rates of comorbidities. People living in more socio-economically disadvantaged neighbourhoods and minority ethnic groups have higher rates of almost all the known underlying clinical risk factors that increase the severity and mortality of COVID-19. Therefore, the prevalence and severity of COVID-19 has been magnified</w:t>
      </w:r>
      <w:r w:rsidR="00EE637A">
        <w:rPr>
          <w:color w:val="auto"/>
          <w:shd w:val="clear" w:color="auto" w:fill="FFFFFF"/>
        </w:rPr>
        <w:t>.</w:t>
      </w:r>
      <w:r w:rsidRPr="00DA7AB5">
        <w:rPr>
          <w:color w:val="auto"/>
          <w:shd w:val="clear" w:color="auto" w:fill="FFFFFF"/>
        </w:rPr>
        <w:fldChar w:fldCharType="begin"/>
      </w:r>
      <w:r w:rsidRPr="00DA7AB5">
        <w:rPr>
          <w:color w:val="auto"/>
          <w:shd w:val="clear" w:color="auto" w:fill="FFFFFF"/>
        </w:rPr>
        <w:instrText xml:space="preserve"> ADDIN EN.CITE &lt;EndNote&gt;&lt;Cite&gt;&lt;Author&gt;Clare&lt;/Author&gt;&lt;Year&gt;2020&lt;/Year&gt;&lt;IDText&gt;The COVID-19 pandemic and health inequalities&lt;/IDText&gt;&lt;DisplayText&gt;[1]&lt;/DisplayText&gt;&lt;record&gt;&lt;titles&gt;&lt;title&gt;The COVID-19 pandemic and health inequalities&lt;/title&gt;&lt;secondary-title&gt;J Epidemiol Community Health&lt;/secondary-title&gt;&lt;/titles&gt;&lt;pages&gt;964-968&lt;/pages&gt;&lt;number&gt;11&lt;/number&gt;&lt;contributors&gt;&lt;authors&gt;&lt;author&gt;Clare Bambra&lt;/author&gt;&lt;author&gt;Ryan Riordan&lt;/author&gt;&lt;author&gt;John Ford&lt;/author&gt;&lt;author&gt;Fiona Matthews&lt;/author&gt;&lt;/authors&gt;&lt;/contributors&gt;&lt;added-date format="utc"&gt;1619084396&lt;/added-date&gt;&lt;ref-type name="Journal Article"&gt;17&lt;/ref-type&gt;&lt;dates&gt;&lt;year&gt;2020&lt;/year&gt;&lt;/dates&gt;&lt;rec-number&gt;2&lt;/rec-number&gt;&lt;last-updated-date format="utc"&gt;1619085219&lt;/last-updated-date&gt;&lt;volume&gt;74&lt;/volume&gt;&lt;/record&gt;&lt;/Cite&gt;&lt;/EndNote&gt;</w:instrText>
      </w:r>
      <w:r w:rsidRPr="00DA7AB5">
        <w:rPr>
          <w:color w:val="auto"/>
          <w:shd w:val="clear" w:color="auto" w:fill="FFFFFF"/>
        </w:rPr>
        <w:fldChar w:fldCharType="separate"/>
      </w:r>
      <w:r w:rsidRPr="00DA7AB5">
        <w:rPr>
          <w:noProof/>
          <w:color w:val="auto"/>
          <w:shd w:val="clear" w:color="auto" w:fill="FFFFFF"/>
        </w:rPr>
        <w:t>[1]</w:t>
      </w:r>
      <w:r w:rsidRPr="00DA7AB5">
        <w:rPr>
          <w:color w:val="auto"/>
          <w:shd w:val="clear" w:color="auto" w:fill="FFFFFF"/>
        </w:rPr>
        <w:fldChar w:fldCharType="end"/>
      </w:r>
      <w:r w:rsidRPr="00DA7AB5">
        <w:rPr>
          <w:color w:val="auto"/>
          <w:shd w:val="clear" w:color="auto" w:fill="FFFFFF"/>
        </w:rPr>
        <w:t xml:space="preserve"> ONS data </w:t>
      </w:r>
      <w:r>
        <w:rPr>
          <w:color w:val="auto"/>
          <w:shd w:val="clear" w:color="auto" w:fill="FFFFFF"/>
        </w:rPr>
        <w:t>shows</w:t>
      </w:r>
      <w:r w:rsidRPr="00DA7AB5">
        <w:rPr>
          <w:color w:val="auto"/>
          <w:shd w:val="clear" w:color="auto" w:fill="FFFFFF"/>
        </w:rPr>
        <w:t xml:space="preserve"> that all-cause mortality, by area deprivation, </w:t>
      </w:r>
      <w:r>
        <w:rPr>
          <w:color w:val="auto"/>
          <w:shd w:val="clear" w:color="auto" w:fill="FFFFFF"/>
        </w:rPr>
        <w:t xml:space="preserve">is similar to that for COVID-19, which supports that </w:t>
      </w:r>
      <w:r w:rsidRPr="00DA7AB5">
        <w:rPr>
          <w:color w:val="auto"/>
          <w:shd w:val="clear" w:color="auto" w:fill="FFFFFF"/>
        </w:rPr>
        <w:t xml:space="preserve">COVID-19 </w:t>
      </w:r>
      <w:r>
        <w:rPr>
          <w:color w:val="auto"/>
          <w:shd w:val="clear" w:color="auto" w:fill="FFFFFF"/>
        </w:rPr>
        <w:t xml:space="preserve">is being </w:t>
      </w:r>
      <w:r w:rsidRPr="00DA7AB5">
        <w:rPr>
          <w:color w:val="auto"/>
          <w:shd w:val="clear" w:color="auto" w:fill="FFFFFF"/>
        </w:rPr>
        <w:t>imposed on pre-existing health inequalities</w:t>
      </w:r>
      <w:r>
        <w:rPr>
          <w:color w:val="auto"/>
          <w:shd w:val="clear" w:color="auto" w:fill="FFFFFF"/>
        </w:rPr>
        <w:t>.</w:t>
      </w:r>
    </w:p>
    <w:p w14:paraId="6D7B4D0A" w14:textId="77777777" w:rsidR="00A0348D" w:rsidRPr="00A0348D" w:rsidRDefault="00A0348D" w:rsidP="00A0348D"/>
    <w:p w14:paraId="2E47680D" w14:textId="352A9B73" w:rsidR="00803905" w:rsidRPr="00756BA5" w:rsidRDefault="00B65681" w:rsidP="00756BA5">
      <w:pPr>
        <w:pStyle w:val="ListParagraph"/>
        <w:numPr>
          <w:ilvl w:val="0"/>
          <w:numId w:val="21"/>
        </w:numPr>
        <w:rPr>
          <w:b/>
        </w:rPr>
      </w:pPr>
      <w:r>
        <w:rPr>
          <w:b/>
        </w:rPr>
        <w:t>Background</w:t>
      </w:r>
    </w:p>
    <w:p w14:paraId="046F9876" w14:textId="77777777" w:rsidR="00803905" w:rsidRDefault="00803905" w:rsidP="00803905">
      <w:pPr>
        <w:rPr>
          <w:shd w:val="clear" w:color="auto" w:fill="FFFFFF"/>
        </w:rPr>
      </w:pPr>
      <w:r>
        <w:t>S</w:t>
      </w:r>
      <w:r w:rsidRPr="007D4343">
        <w:t>coping</w:t>
      </w:r>
      <w:r>
        <w:t xml:space="preserve"> of the</w:t>
      </w:r>
      <w:r w:rsidRPr="007D4343">
        <w:t xml:space="preserve"> literature quickly </w:t>
      </w:r>
      <w:r>
        <w:t xml:space="preserve">identified the </w:t>
      </w:r>
      <w:r w:rsidRPr="007D4343">
        <w:t xml:space="preserve">variation and inconsistency in terminology so </w:t>
      </w:r>
      <w:r>
        <w:t>firstly it is essential to define what is meant by</w:t>
      </w:r>
      <w:r w:rsidRPr="007D4343">
        <w:t xml:space="preserve"> health/healthcare inequalities</w:t>
      </w:r>
      <w:r w:rsidR="001F0407">
        <w:t>.</w:t>
      </w:r>
      <w:r w:rsidRPr="007D4343">
        <w:t xml:space="preserve"> </w:t>
      </w:r>
      <w:r>
        <w:t xml:space="preserve">There is a lot </w:t>
      </w:r>
      <w:r w:rsidRPr="007D4343">
        <w:t xml:space="preserve">of </w:t>
      </w:r>
      <w:r w:rsidRPr="007D4343">
        <w:rPr>
          <w:shd w:val="clear" w:color="auto" w:fill="FFFFFF"/>
        </w:rPr>
        <w:t>cross talk using the same phrase "health inequality" when "health inequity" may be more apt.</w:t>
      </w:r>
      <w:r>
        <w:rPr>
          <w:shd w:val="clear" w:color="auto" w:fill="FFFFFF"/>
        </w:rPr>
        <w:t xml:space="preserve"> </w:t>
      </w:r>
      <w:r w:rsidRPr="007D4343">
        <w:t xml:space="preserve">A health inequality typically is any measurable aspect of health that varies across individuals or according to socially relevant groupings. Absent from the definition of health inequality is any moral judgment on whether </w:t>
      </w:r>
      <w:r w:rsidRPr="007D4343">
        <w:lastRenderedPageBreak/>
        <w:t>observed differences are fair or just.</w:t>
      </w:r>
      <w:r>
        <w:rPr>
          <w:shd w:val="clear" w:color="auto" w:fill="FFFFFF"/>
        </w:rPr>
        <w:t xml:space="preserve"> </w:t>
      </w:r>
      <w:r w:rsidRPr="007D4343">
        <w:t xml:space="preserve">In contrast, a health </w:t>
      </w:r>
      <w:r w:rsidR="001F0407" w:rsidRPr="007D4343">
        <w:t>inequity</w:t>
      </w:r>
      <w:r w:rsidRPr="007D4343">
        <w:t xml:space="preserve"> is a specific type of health inequality that denotes an unjust difference in health.</w:t>
      </w:r>
      <w:r>
        <w:t xml:space="preserve"> </w:t>
      </w:r>
      <w:r>
        <w:rPr>
          <w:shd w:val="clear" w:color="auto" w:fill="FFFFFF"/>
        </w:rPr>
        <w:t xml:space="preserve"> NHSEI define health inequalities as</w:t>
      </w:r>
      <w:r w:rsidRPr="007D4343">
        <w:rPr>
          <w:shd w:val="clear" w:color="auto" w:fill="FFFFFF"/>
        </w:rPr>
        <w:t xml:space="preserve"> unfair and avoidable differences in health across the population, and between different groups within society. </w:t>
      </w:r>
    </w:p>
    <w:p w14:paraId="4838A342" w14:textId="57BE4B58" w:rsidR="006749ED" w:rsidRDefault="006749ED" w:rsidP="00803905">
      <w:pPr>
        <w:rPr>
          <w:shd w:val="clear" w:color="auto" w:fill="FFFFFF"/>
        </w:rPr>
      </w:pPr>
      <w:r>
        <w:t>Digital health services are defined as health services that use digital elements to</w:t>
      </w:r>
      <w:r w:rsidR="001E0C7B">
        <w:t xml:space="preserve"> affect the different phases of health care delivery, including health promotion, prevention, primary care, specialised care, long term care, social care, and self-care.</w:t>
      </w:r>
      <w:r>
        <w:t xml:space="preserve"> This will encompass a broad array of intersecting services such as eHealth, mobile health, telemedicine, telecare, imaging, artificial intelligence and electronic health records</w:t>
      </w:r>
      <w:r w:rsidR="00B65681">
        <w:t>.</w:t>
      </w:r>
    </w:p>
    <w:p w14:paraId="3FDC0440" w14:textId="7AA2F835" w:rsidR="00803905" w:rsidRDefault="00803905" w:rsidP="00803905">
      <w:pPr>
        <w:rPr>
          <w:shd w:val="clear" w:color="auto" w:fill="FFFFFF"/>
        </w:rPr>
      </w:pPr>
      <w:r>
        <w:rPr>
          <w:shd w:val="clear" w:color="auto" w:fill="FFFFFF"/>
        </w:rPr>
        <w:t xml:space="preserve">Digital inclusion as defined by NHS </w:t>
      </w:r>
      <w:r w:rsidR="00FE3A3C">
        <w:rPr>
          <w:shd w:val="clear" w:color="auto" w:fill="FFFFFF"/>
        </w:rPr>
        <w:t>D</w:t>
      </w:r>
      <w:r>
        <w:rPr>
          <w:shd w:val="clear" w:color="auto" w:fill="FFFFFF"/>
        </w:rPr>
        <w:t>igital refers to digital skills i.e. the ability to use digital devices; connectivity i.e. access to the internet either th</w:t>
      </w:r>
      <w:r w:rsidR="00A60AB7">
        <w:rPr>
          <w:shd w:val="clear" w:color="auto" w:fill="FFFFFF"/>
        </w:rPr>
        <w:t>r</w:t>
      </w:r>
      <w:r>
        <w:rPr>
          <w:shd w:val="clear" w:color="auto" w:fill="FFFFFF"/>
        </w:rPr>
        <w:t>ough broadband, Wi-Fi or mobile; and accessibility i.e. the design of the service to meet the needs of all users including those dependent on assistive techno</w:t>
      </w:r>
      <w:r w:rsidR="00976C71">
        <w:rPr>
          <w:shd w:val="clear" w:color="auto" w:fill="FFFFFF"/>
        </w:rPr>
        <w:t xml:space="preserve">logy as well as awareness that such services exist. </w:t>
      </w:r>
      <w:r w:rsidR="00A0348D">
        <w:rPr>
          <w:shd w:val="clear" w:color="auto" w:fill="FFFFFF"/>
        </w:rPr>
        <w:t>It is widely accepted that there are high levels of d</w:t>
      </w:r>
      <w:r w:rsidR="00976C71">
        <w:rPr>
          <w:shd w:val="clear" w:color="auto" w:fill="FFFFFF"/>
        </w:rPr>
        <w:t>igital exclusion</w:t>
      </w:r>
      <w:r w:rsidR="00A0348D">
        <w:rPr>
          <w:shd w:val="clear" w:color="auto" w:fill="FFFFFF"/>
        </w:rPr>
        <w:t xml:space="preserve"> as well as digital health literacy in people fr</w:t>
      </w:r>
      <w:r w:rsidR="00A60AB7">
        <w:rPr>
          <w:shd w:val="clear" w:color="auto" w:fill="FFFFFF"/>
        </w:rPr>
        <w:t>o</w:t>
      </w:r>
      <w:r w:rsidR="00A0348D">
        <w:rPr>
          <w:shd w:val="clear" w:color="auto" w:fill="FFFFFF"/>
        </w:rPr>
        <w:t xml:space="preserve">m deprived communities. </w:t>
      </w:r>
      <w:r w:rsidR="00976C71">
        <w:rPr>
          <w:shd w:val="clear" w:color="auto" w:fill="FFFFFF"/>
        </w:rPr>
        <w:t xml:space="preserve"> </w:t>
      </w:r>
    </w:p>
    <w:p w14:paraId="0CD8BD56" w14:textId="610652FF" w:rsidR="00EE637A" w:rsidRPr="00EE637A" w:rsidRDefault="00D46F07" w:rsidP="00EE637A">
      <w:pPr>
        <w:rPr>
          <w:shd w:val="clear" w:color="auto" w:fill="FFFFFF"/>
        </w:rPr>
      </w:pPr>
      <w:r w:rsidRPr="008756BC">
        <w:rPr>
          <w:color w:val="000000" w:themeColor="text1"/>
        </w:rPr>
        <w:t xml:space="preserve">Assessing the value of digital health care is incredibly complex not only due to the variation in digital health services, but also due to the applicability of current methods for evaluating </w:t>
      </w:r>
      <w:r w:rsidR="00E72DE7" w:rsidRPr="008756BC">
        <w:rPr>
          <w:color w:val="000000" w:themeColor="text1"/>
        </w:rPr>
        <w:t xml:space="preserve">digital services, and the varying intended and unintended consequences of digital implementation. </w:t>
      </w:r>
      <w:r w:rsidRPr="008756BC">
        <w:rPr>
          <w:color w:val="000000" w:themeColor="text1"/>
        </w:rPr>
        <w:t xml:space="preserve"> </w:t>
      </w:r>
      <w:r w:rsidR="000B6216">
        <w:rPr>
          <w:color w:val="000000" w:themeColor="text1"/>
        </w:rPr>
        <w:t>T</w:t>
      </w:r>
      <w:r w:rsidR="008646D8" w:rsidRPr="008756BC">
        <w:rPr>
          <w:color w:val="000000" w:themeColor="text1"/>
        </w:rPr>
        <w:t xml:space="preserve">here is some </w:t>
      </w:r>
      <w:r w:rsidR="00954C2A" w:rsidRPr="008756BC">
        <w:rPr>
          <w:color w:val="000000" w:themeColor="text1"/>
        </w:rPr>
        <w:t xml:space="preserve">empirical </w:t>
      </w:r>
      <w:r w:rsidR="008646D8" w:rsidRPr="008756BC">
        <w:rPr>
          <w:color w:val="000000" w:themeColor="text1"/>
        </w:rPr>
        <w:t xml:space="preserve">evidence </w:t>
      </w:r>
      <w:r w:rsidR="00954C2A" w:rsidRPr="008756BC">
        <w:rPr>
          <w:color w:val="000000" w:themeColor="text1"/>
        </w:rPr>
        <w:t>supporting improved outcomes following the use of digital health services</w:t>
      </w:r>
      <w:r w:rsidR="000B6216">
        <w:rPr>
          <w:color w:val="000000" w:themeColor="text1"/>
        </w:rPr>
        <w:t xml:space="preserve"> although a full appraisal is beyond the scope of this review.</w:t>
      </w:r>
      <w:r w:rsidR="00954C2A" w:rsidRPr="008756BC">
        <w:rPr>
          <w:color w:val="000000" w:themeColor="text1"/>
        </w:rPr>
        <w:t xml:space="preserve"> For </w:t>
      </w:r>
      <w:r w:rsidR="000B6216" w:rsidRPr="008756BC">
        <w:rPr>
          <w:color w:val="000000" w:themeColor="text1"/>
        </w:rPr>
        <w:t>example,</w:t>
      </w:r>
      <w:r w:rsidR="00954C2A" w:rsidRPr="008756BC">
        <w:rPr>
          <w:color w:val="000000" w:themeColor="text1"/>
        </w:rPr>
        <w:t xml:space="preserve"> a systematic review of telehealth suggested that telehealth is effective in reducing patient mortality and hospital admissions for chronic heart failure, reducing hospital admissions for COPD, reducing blood pressure in </w:t>
      </w:r>
      <w:r w:rsidR="00954C2A" w:rsidRPr="00EE637A">
        <w:rPr>
          <w:shd w:val="clear" w:color="auto" w:fill="FFFFFF"/>
        </w:rPr>
        <w:t>hypertension, improving glycaemic</w:t>
      </w:r>
      <w:r w:rsidR="008756BC" w:rsidRPr="00EE637A">
        <w:rPr>
          <w:shd w:val="clear" w:color="auto" w:fill="FFFFFF"/>
        </w:rPr>
        <w:t xml:space="preserve"> </w:t>
      </w:r>
      <w:r w:rsidR="00954C2A" w:rsidRPr="00EE637A">
        <w:rPr>
          <w:shd w:val="clear" w:color="auto" w:fill="FFFFFF"/>
        </w:rPr>
        <w:t>control in diabetes and reducing symptoms in asthma</w:t>
      </w:r>
      <w:r w:rsidR="00EE637A">
        <w:rPr>
          <w:shd w:val="clear" w:color="auto" w:fill="FFFFFF"/>
        </w:rPr>
        <w:t>.</w:t>
      </w:r>
      <w:r w:rsidR="00530268" w:rsidRPr="00EE637A">
        <w:rPr>
          <w:shd w:val="clear" w:color="auto" w:fill="FFFFFF"/>
        </w:rPr>
        <w:fldChar w:fldCharType="begin"/>
      </w:r>
      <w:r w:rsidR="00530268" w:rsidRPr="00EE637A">
        <w:rPr>
          <w:shd w:val="clear" w:color="auto" w:fill="FFFFFF"/>
        </w:rPr>
        <w:instrText xml:space="preserve"> ADDIN EN.CITE &lt;EndNote&gt;&lt;Cite&gt;&lt;Author&gt;Brettle&lt;/Author&gt;&lt;Year&gt;2013&lt;/Year&gt;&lt;IDText&gt;Telehealth: The effects on clinical outcomes, cost effectiveness, and patient experience: a systematic overview of the literature&lt;/IDText&gt;&lt;DisplayText&gt;[2]&lt;/DisplayText&gt;&lt;record&gt;&lt;titles&gt;&lt;title&gt;Telehealth: The effects on clinical outcomes, cost effectiveness, and patient experience: a systematic overview of the literature&lt;/title&gt;&lt;/titles&gt;&lt;contributors&gt;&lt;authors&gt;&lt;author&gt;Brettle, AJ,&lt;/author&gt;&lt;author&gt;Brown, TM,&lt;/author&gt;&lt;author&gt;Hardiker, NR,&lt;/author&gt;&lt;author&gt;Radcliffe, JN&lt;/author&gt;&lt;author&gt;Smith, CL&lt;/author&gt;&lt;/authors&gt;&lt;/contributors&gt;&lt;added-date format="utc"&gt;1626449000&lt;/added-date&gt;&lt;pub-location&gt;Manchester&lt;/pub-location&gt;&lt;ref-type name="Report"&gt;27&lt;/ref-type&gt;&lt;dates&gt;&lt;year&gt;2013&lt;/year&gt;&lt;/dates&gt;&lt;rec-number&gt;219&lt;/rec-number&gt;&lt;publisher&gt;University of Salford&lt;/publisher&gt;&lt;last-updated-date format="utc"&gt;1633034694&lt;/last-updated-date&gt;&lt;/record&gt;&lt;/Cite&gt;&lt;/EndNote&gt;</w:instrText>
      </w:r>
      <w:r w:rsidR="00530268" w:rsidRPr="00EE637A">
        <w:rPr>
          <w:shd w:val="clear" w:color="auto" w:fill="FFFFFF"/>
        </w:rPr>
        <w:fldChar w:fldCharType="separate"/>
      </w:r>
      <w:r w:rsidR="00530268" w:rsidRPr="00EE637A">
        <w:rPr>
          <w:shd w:val="clear" w:color="auto" w:fill="FFFFFF"/>
        </w:rPr>
        <w:t>[2]</w:t>
      </w:r>
      <w:r w:rsidR="00530268" w:rsidRPr="00EE637A">
        <w:rPr>
          <w:shd w:val="clear" w:color="auto" w:fill="FFFFFF"/>
        </w:rPr>
        <w:fldChar w:fldCharType="end"/>
      </w:r>
      <w:r w:rsidR="009D0D95" w:rsidRPr="00EE637A">
        <w:rPr>
          <w:shd w:val="clear" w:color="auto" w:fill="FFFFFF"/>
        </w:rPr>
        <w:t xml:space="preserve"> </w:t>
      </w:r>
    </w:p>
    <w:p w14:paraId="69CBB0AD" w14:textId="6976D421" w:rsidR="008756BC" w:rsidRDefault="00954C2A" w:rsidP="00EE637A">
      <w:pPr>
        <w:rPr>
          <w:color w:val="000000" w:themeColor="text1"/>
        </w:rPr>
      </w:pPr>
      <w:r w:rsidRPr="00EE637A">
        <w:rPr>
          <w:shd w:val="clear" w:color="auto" w:fill="FFFFFF"/>
        </w:rPr>
        <w:t>Similarly</w:t>
      </w:r>
      <w:r w:rsidR="000878C8" w:rsidRPr="00EE637A">
        <w:rPr>
          <w:shd w:val="clear" w:color="auto" w:fill="FFFFFF"/>
        </w:rPr>
        <w:t>, a systematic review and meta-analysis by</w:t>
      </w:r>
      <w:r w:rsidRPr="00EE637A">
        <w:rPr>
          <w:shd w:val="clear" w:color="auto" w:fill="FFFFFF"/>
        </w:rPr>
        <w:t xml:space="preserve"> </w:t>
      </w:r>
      <w:r w:rsidR="000878C8" w:rsidRPr="00EE637A">
        <w:rPr>
          <w:shd w:val="clear" w:color="auto" w:fill="FFFFFF"/>
        </w:rPr>
        <w:t>Flodgren et al in 2015 concluded that the use of</w:t>
      </w:r>
      <w:r w:rsidR="000878C8" w:rsidRPr="008756BC">
        <w:rPr>
          <w:color w:val="000000" w:themeColor="text1"/>
          <w:shd w:val="clear" w:color="auto" w:fill="FFFFFF"/>
        </w:rPr>
        <w:t xml:space="preserve"> </w:t>
      </w:r>
      <w:r w:rsidR="008756BC" w:rsidRPr="008756BC">
        <w:rPr>
          <w:color w:val="000000" w:themeColor="text1"/>
          <w:shd w:val="clear" w:color="auto" w:fill="FFFFFF"/>
        </w:rPr>
        <w:t>telemedicine in</w:t>
      </w:r>
      <w:r w:rsidR="000878C8" w:rsidRPr="008756BC">
        <w:rPr>
          <w:color w:val="000000" w:themeColor="text1"/>
          <w:shd w:val="clear" w:color="auto" w:fill="FFFFFF"/>
        </w:rPr>
        <w:t xml:space="preserve"> the management of heart failure appears to lead to similar health outcomes as face-to-face or telephone delivery of care and that telemedicine improved glycaemic control in diabetic patients</w:t>
      </w:r>
      <w:r w:rsidR="00EE637A">
        <w:rPr>
          <w:color w:val="000000" w:themeColor="text1"/>
          <w:shd w:val="clear" w:color="auto" w:fill="FFFFFF"/>
        </w:rPr>
        <w:t>.</w:t>
      </w:r>
      <w:r w:rsidR="003C5D11">
        <w:rPr>
          <w:color w:val="000000" w:themeColor="text1"/>
          <w:shd w:val="clear" w:color="auto" w:fill="FFFFFF"/>
        </w:rPr>
        <w:fldChar w:fldCharType="begin"/>
      </w:r>
      <w:r w:rsidR="00530268">
        <w:rPr>
          <w:color w:val="000000" w:themeColor="text1"/>
          <w:shd w:val="clear" w:color="auto" w:fill="FFFFFF"/>
        </w:rPr>
        <w:instrText xml:space="preserve"> ADDIN EN.CITE &lt;EndNote&gt;&lt;Cite&gt;&lt;Author&gt;Flodgren&lt;/Author&gt;&lt;Year&gt;2015&lt;/Year&gt;&lt;IDText&gt;Interactive telemedicine: effects on professional practice and health care outcomes&lt;/IDText&gt;&lt;DisplayText&gt;[3]&lt;/DisplayText&gt;&lt;record&gt;&lt;dates&gt;&lt;pub-dates&gt;&lt;date&gt;Sep 7&lt;/date&gt;&lt;/pub-dates&gt;&lt;year&gt;2015&lt;/year&gt;&lt;/dates&gt;&lt;keywords&gt;&lt;keyword&gt;*Communication&lt;/keyword&gt;&lt;keyword&gt;Diabetes Mellitus/therapy&lt;/keyword&gt;&lt;keyword&gt;Heart Failure/therapy&lt;/keyword&gt;&lt;keyword&gt;Humans&lt;/keyword&gt;&lt;keyword&gt;Mental Disorders/therapy&lt;/keyword&gt;&lt;keyword&gt;Monitoring, Physiologic/methods&lt;/keyword&gt;&lt;keyword&gt;*Outcome and Process Assessment, Health Care&lt;/keyword&gt;&lt;keyword&gt;*Physician-Patient Relations&lt;/keyword&gt;&lt;keyword&gt;*Practice Patterns, Physicians&amp;apos;&lt;/keyword&gt;&lt;keyword&gt;Telemedicine/*methods&lt;/keyword&gt;&lt;keyword&gt;Videoconferencing&lt;/keyword&gt;&lt;/keywords&gt;&lt;isbn&gt;1361-6137&lt;/isbn&gt;&lt;custom2&gt;PMC6473731&lt;/custom2&gt;&lt;custom1&gt;Authors Gerd Flodgren, Antoine Rachas, Andrew J Farmer, Marco Inzitari, and Sasha Shepperd have declared no competing interests.&lt;/custom1&gt;&lt;titles&gt;&lt;title&gt;Interactive telemedicine: effects on professional practice and health care outcomes&lt;/title&gt;&lt;secondary-title&gt;Cochrane Database Syst Rev&lt;/secondary-title&gt;&lt;/titles&gt;&lt;pages&gt;Cd002098&lt;/pages&gt;&lt;number&gt;9&lt;/number&gt;&lt;contributors&gt;&lt;authors&gt;&lt;author&gt;Flodgren, G.&lt;/author&gt;&lt;author&gt;Rachas, A.&lt;/author&gt;&lt;author&gt;Farmer, A. J.&lt;/author&gt;&lt;author&gt;Inzitari, M.&lt;/author&gt;&lt;author&gt;Shepperd, S.&lt;/author&gt;&lt;/authors&gt;&lt;/contributors&gt;&lt;edition&gt;20150907&lt;/edition&gt;&lt;language&gt;eng&lt;/language&gt;&lt;added-date format="utc"&gt;1626449433&lt;/added-date&gt;&lt;ref-type name="Journal Article"&gt;17&lt;/ref-type&gt;&lt;auth-address&gt;Nuffield Department of Population Health, University of Oxford, Richard Doll Building, Roosevelt Drive, Headington, Oxford, Oxfordshire, UK, OX3 7LF.&lt;/auth-address&gt;&lt;remote-database-provider&gt;NLM&lt;/remote-database-provider&gt;&lt;rec-number&gt;220&lt;/rec-number&gt;&lt;last-updated-date format="utc"&gt;1626449433&lt;/last-updated-date&gt;&lt;accession-num&gt;26343551&lt;/accession-num&gt;&lt;electronic-resource-num&gt;10.1002/14651858.CD002098.pub2&lt;/electronic-resource-num&gt;&lt;volume&gt;2015&lt;/volume&gt;&lt;/record&gt;&lt;/Cite&gt;&lt;/EndNote&gt;</w:instrText>
      </w:r>
      <w:r w:rsidR="003C5D11">
        <w:rPr>
          <w:color w:val="000000" w:themeColor="text1"/>
          <w:shd w:val="clear" w:color="auto" w:fill="FFFFFF"/>
        </w:rPr>
        <w:fldChar w:fldCharType="separate"/>
      </w:r>
      <w:r w:rsidR="00530268">
        <w:rPr>
          <w:noProof/>
          <w:color w:val="000000" w:themeColor="text1"/>
          <w:shd w:val="clear" w:color="auto" w:fill="FFFFFF"/>
        </w:rPr>
        <w:t>[3]</w:t>
      </w:r>
      <w:r w:rsidR="003C5D11">
        <w:rPr>
          <w:color w:val="000000" w:themeColor="text1"/>
          <w:shd w:val="clear" w:color="auto" w:fill="FFFFFF"/>
        </w:rPr>
        <w:fldChar w:fldCharType="end"/>
      </w:r>
      <w:r w:rsidR="000878C8" w:rsidRPr="008756BC">
        <w:rPr>
          <w:color w:val="000000" w:themeColor="text1"/>
          <w:shd w:val="clear" w:color="auto" w:fill="FFFFFF"/>
        </w:rPr>
        <w:t xml:space="preserve">  Inglis et al also performed a meta-analysis of telemedicine and structured telephone support in monitoring of chronic heart failure</w:t>
      </w:r>
      <w:r w:rsidR="007215F0" w:rsidRPr="008756BC">
        <w:rPr>
          <w:color w:val="000000" w:themeColor="text1"/>
          <w:shd w:val="clear" w:color="auto" w:fill="FFFFFF"/>
        </w:rPr>
        <w:t xml:space="preserve">, and found </w:t>
      </w:r>
      <w:r w:rsidR="007215F0" w:rsidRPr="002475D7">
        <w:rPr>
          <w:color w:val="000000" w:themeColor="text1"/>
          <w:shd w:val="clear" w:color="auto" w:fill="FFFFFF"/>
        </w:rPr>
        <w:t xml:space="preserve">both </w:t>
      </w:r>
      <w:r w:rsidR="00A60AB7">
        <w:rPr>
          <w:color w:val="000000" w:themeColor="text1"/>
          <w:shd w:val="clear" w:color="auto" w:fill="FFFFFF"/>
        </w:rPr>
        <w:t>interventions</w:t>
      </w:r>
      <w:r w:rsidR="007215F0" w:rsidRPr="002475D7">
        <w:rPr>
          <w:color w:val="000000" w:themeColor="text1"/>
          <w:shd w:val="clear" w:color="auto" w:fill="FFFFFF"/>
        </w:rPr>
        <w:t xml:space="preserve"> to be effective in improving patient outcomes.</w:t>
      </w:r>
      <w:r w:rsidR="003C5D11">
        <w:rPr>
          <w:color w:val="000000" w:themeColor="text1"/>
          <w:shd w:val="clear" w:color="auto" w:fill="FFFFFF"/>
        </w:rPr>
        <w:fldChar w:fldCharType="begin"/>
      </w:r>
      <w:r w:rsidR="00530268">
        <w:rPr>
          <w:color w:val="000000" w:themeColor="text1"/>
          <w:shd w:val="clear" w:color="auto" w:fill="FFFFFF"/>
        </w:rPr>
        <w:instrText xml:space="preserve"> ADDIN EN.CITE &lt;EndNote&gt;&lt;Cite&gt;&lt;Author&gt;Inglis&lt;/Author&gt;&lt;Year&gt;2011&lt;/Year&gt;&lt;IDText&gt;Which components of heart failure programmes are effective? A systematic review and meta-analysis of the outcomes of structured telephone support or telemonitoring as the primary component of chronic heart failure management in 8323 patients: Abridged Cochrane Review&lt;/IDText&gt;&lt;DisplayText&gt;[4]&lt;/DisplayText&gt;&lt;record&gt;&lt;dates&gt;&lt;pub-dates&gt;&lt;date&gt;Sep&lt;/date&gt;&lt;/pub-dates&gt;&lt;year&gt;2011&lt;/year&gt;&lt;/dates&gt;&lt;keywords&gt;&lt;keyword&gt;Heart Failure/mortality/*therapy&lt;/keyword&gt;&lt;keyword&gt;Humans&lt;/keyword&gt;&lt;keyword&gt;*Monitoring, Ambulatory&lt;/keyword&gt;&lt;keyword&gt;*Outcome Assessment, Health Care&lt;/keyword&gt;&lt;keyword&gt;Randomized Controlled Trials as Topic&lt;/keyword&gt;&lt;keyword&gt;*Telemedicine&lt;/keyword&gt;&lt;keyword&gt;*Telephone&lt;/keyword&gt;&lt;/keywords&gt;&lt;isbn&gt;1388-9842&lt;/isbn&gt;&lt;titles&gt;&lt;title&gt;Which components of heart failure programmes are effective? A systematic review and meta-analysis of the outcomes of structured telephone support or telemonitoring as the primary component of chronic heart failure management in 8323 patients: Abridged Cochrane Review&lt;/title&gt;&lt;secondary-title&gt;Eur J Heart Fail&lt;/secondary-title&gt;&lt;/titles&gt;&lt;pages&gt;1028-40&lt;/pages&gt;&lt;number&gt;9&lt;/number&gt;&lt;contributors&gt;&lt;authors&gt;&lt;author&gt;Inglis, S. C.&lt;/author&gt;&lt;author&gt;Clark, R. A.&lt;/author&gt;&lt;author&gt;McAlister, F. A.&lt;/author&gt;&lt;author&gt;Stewart, S.&lt;/author&gt;&lt;author&gt;Cleland, J. G.&lt;/author&gt;&lt;/authors&gt;&lt;/contributors&gt;&lt;edition&gt;20110706&lt;/edition&gt;&lt;language&gt;eng&lt;/language&gt;&lt;added-date format="utc"&gt;1626449706&lt;/added-date&gt;&lt;ref-type name="Journal Article"&gt;17&lt;/ref-type&gt;&lt;auth-address&gt;Preventative Health, Baker IDI Heart and Diabetes Institute and Faculty of Nursing, Midwifery and Health, University of Technology, Sydney, Australia.&lt;/auth-address&gt;&lt;remote-database-provider&gt;NLM&lt;/remote-database-provider&gt;&lt;rec-number&gt;221&lt;/rec-number&gt;&lt;last-updated-date format="utc"&gt;1626449706&lt;/last-updated-date&gt;&lt;accession-num&gt;21733889&lt;/accession-num&gt;&lt;electronic-resource-num&gt;10.1093/eurjhf/hfr039&lt;/electronic-resource-num&gt;&lt;volume&gt;13&lt;/volume&gt;&lt;/record&gt;&lt;/Cite&gt;&lt;/EndNote&gt;</w:instrText>
      </w:r>
      <w:r w:rsidR="003C5D11">
        <w:rPr>
          <w:color w:val="000000" w:themeColor="text1"/>
          <w:shd w:val="clear" w:color="auto" w:fill="FFFFFF"/>
        </w:rPr>
        <w:fldChar w:fldCharType="separate"/>
      </w:r>
      <w:r w:rsidR="00530268">
        <w:rPr>
          <w:noProof/>
          <w:color w:val="000000" w:themeColor="text1"/>
          <w:shd w:val="clear" w:color="auto" w:fill="FFFFFF"/>
        </w:rPr>
        <w:t>[4]</w:t>
      </w:r>
      <w:r w:rsidR="003C5D11">
        <w:rPr>
          <w:color w:val="000000" w:themeColor="text1"/>
          <w:shd w:val="clear" w:color="auto" w:fill="FFFFFF"/>
        </w:rPr>
        <w:fldChar w:fldCharType="end"/>
      </w:r>
      <w:r w:rsidR="007215F0" w:rsidRPr="002475D7">
        <w:rPr>
          <w:color w:val="000000" w:themeColor="text1"/>
          <w:shd w:val="clear" w:color="auto" w:fill="FFFFFF"/>
        </w:rPr>
        <w:t xml:space="preserve"> However all authors commented on the quality of the nature of the evaluation of digital health services reviewed and </w:t>
      </w:r>
      <w:r w:rsidR="006749ED" w:rsidRPr="002475D7">
        <w:rPr>
          <w:color w:val="000000" w:themeColor="text1"/>
        </w:rPr>
        <w:t>the</w:t>
      </w:r>
      <w:r w:rsidR="007215F0" w:rsidRPr="002475D7">
        <w:rPr>
          <w:color w:val="000000" w:themeColor="text1"/>
        </w:rPr>
        <w:t xml:space="preserve"> current</w:t>
      </w:r>
      <w:r w:rsidR="006749ED" w:rsidRPr="002475D7">
        <w:rPr>
          <w:color w:val="000000" w:themeColor="text1"/>
        </w:rPr>
        <w:t xml:space="preserve"> evidence-base </w:t>
      </w:r>
      <w:r w:rsidR="007215F0" w:rsidRPr="002475D7">
        <w:rPr>
          <w:color w:val="000000" w:themeColor="text1"/>
        </w:rPr>
        <w:t xml:space="preserve">on </w:t>
      </w:r>
      <w:r w:rsidR="006749ED" w:rsidRPr="002475D7">
        <w:rPr>
          <w:color w:val="000000" w:themeColor="text1"/>
        </w:rPr>
        <w:t xml:space="preserve">equity impacts of </w:t>
      </w:r>
      <w:r w:rsidR="007215F0" w:rsidRPr="002475D7">
        <w:rPr>
          <w:color w:val="000000" w:themeColor="text1"/>
        </w:rPr>
        <w:t>digital health</w:t>
      </w:r>
      <w:r w:rsidR="006749ED" w:rsidRPr="002475D7">
        <w:rPr>
          <w:color w:val="000000" w:themeColor="text1"/>
        </w:rPr>
        <w:t xml:space="preserve"> services, which has the risk of </w:t>
      </w:r>
      <w:r w:rsidR="007215F0" w:rsidRPr="002475D7">
        <w:rPr>
          <w:color w:val="000000" w:themeColor="text1"/>
        </w:rPr>
        <w:t xml:space="preserve">worsening digital inequalities, is sparse. Health system goals </w:t>
      </w:r>
      <w:r w:rsidR="008756BC" w:rsidRPr="002475D7">
        <w:rPr>
          <w:color w:val="000000" w:themeColor="text1"/>
        </w:rPr>
        <w:t xml:space="preserve">will typically </w:t>
      </w:r>
      <w:r w:rsidR="007215F0" w:rsidRPr="002475D7">
        <w:rPr>
          <w:color w:val="000000" w:themeColor="text1"/>
        </w:rPr>
        <w:t>include quality, access, equity, efficiency, patient empowerment, responsiveness and affordability. It is unlikely that digital health services can fulfil all goals and there is invariably a trade-off. For instance</w:t>
      </w:r>
      <w:r w:rsidR="007215F0" w:rsidRPr="008756BC">
        <w:rPr>
          <w:color w:val="000000" w:themeColor="text1"/>
        </w:rPr>
        <w:t xml:space="preserve">, remote contact GP appointments may improve access to care services for </w:t>
      </w:r>
      <w:r w:rsidR="007215F0" w:rsidRPr="008756BC">
        <w:rPr>
          <w:color w:val="000000" w:themeColor="text1"/>
        </w:rPr>
        <w:lastRenderedPageBreak/>
        <w:t xml:space="preserve">those living in rural areas, leading to more equitable access, but may concurrently reduce access for those in digital poverty or those who </w:t>
      </w:r>
      <w:r w:rsidR="002475D7" w:rsidRPr="008756BC">
        <w:rPr>
          <w:color w:val="000000" w:themeColor="text1"/>
        </w:rPr>
        <w:t>lack</w:t>
      </w:r>
      <w:r w:rsidR="007215F0" w:rsidRPr="008756BC">
        <w:rPr>
          <w:color w:val="000000" w:themeColor="text1"/>
        </w:rPr>
        <w:t xml:space="preserve"> digital skills. </w:t>
      </w:r>
      <w:r w:rsidR="00B65681" w:rsidRPr="008756BC">
        <w:rPr>
          <w:color w:val="000000" w:themeColor="text1"/>
        </w:rPr>
        <w:t>Indeed,</w:t>
      </w:r>
      <w:r w:rsidR="008756BC" w:rsidRPr="008756BC">
        <w:rPr>
          <w:color w:val="000000" w:themeColor="text1"/>
        </w:rPr>
        <w:t xml:space="preserve"> most studies show that while individuals of higher socio-economic status are the first to adopt and benefit most from the introduction of innovative technologies in health, thereby creating and widening existing inequities, the digital divide tends to affect the same individuals and population groups who are at risk of social and health inequities.</w:t>
      </w:r>
    </w:p>
    <w:p w14:paraId="4C1DD4EB" w14:textId="4EAEF74B" w:rsidR="00B65681" w:rsidRPr="003C5D11" w:rsidRDefault="00B65681" w:rsidP="003C5D11">
      <w:pPr>
        <w:widowControl/>
        <w:spacing w:after="0"/>
        <w:rPr>
          <w:color w:val="000000" w:themeColor="text1"/>
        </w:rPr>
      </w:pPr>
      <w:r w:rsidRPr="006279EB">
        <w:t>It has been recognised that in a world that is increasingly digital, digital exclusion leads to poor access to services and worse health outcomes.</w:t>
      </w:r>
      <w:r>
        <w:fldChar w:fldCharType="begin"/>
      </w:r>
      <w:r w:rsidR="00FA5363">
        <w:instrText xml:space="preserve"> ADDIN EN.CITE &lt;EndNote&gt;&lt;Cite&gt;&lt;Author&gt;Honeyman&lt;/Author&gt;&lt;Year&gt;2020&lt;/Year&gt;&lt;IDText&gt;Digital&lt;/IDText&gt;&lt;DisplayText&gt;[5]&lt;/DisplayText&gt;&lt;record&gt;&lt;titles&gt;&lt;title&gt;Digital&amp;#xA;technology and health inequalities: a scoping review&lt;/title&gt;&lt;/titles&gt;&lt;contributors&gt;&lt;authors&gt;&lt;author&gt;Honeyman, M&lt;/author&gt;&lt;author&gt;Maguire, D&lt;/author&gt;&lt;author&gt;Evans, H&lt;/author&gt;&lt;author&gt;Davies, A&lt;/author&gt;&lt;/authors&gt;&lt;/contributors&gt;&lt;added-date format="utc"&gt;1633034051&lt;/added-date&gt;&lt;pub-location&gt;Cardiff&lt;/pub-location&gt;&lt;ref-type name="Generic"&gt;13&lt;/ref-type&gt;&lt;dates&gt;&lt;year&gt;2020&lt;/year&gt;&lt;/dates&gt;&lt;rec-number&gt;280&lt;/rec-number&gt;&lt;publisher&gt;Public&amp;#xA;Health Wales NHS Trust&lt;/publisher&gt;&lt;last-updated-date format="utc"&gt;1633034101&lt;/last-updated-date&gt;&lt;/record&gt;&lt;/Cite&gt;&lt;/EndNote&gt;</w:instrText>
      </w:r>
      <w:r>
        <w:fldChar w:fldCharType="separate"/>
      </w:r>
      <w:r w:rsidR="00FA5363">
        <w:rPr>
          <w:noProof/>
        </w:rPr>
        <w:t>[5]</w:t>
      </w:r>
      <w:r>
        <w:fldChar w:fldCharType="end"/>
      </w:r>
    </w:p>
    <w:p w14:paraId="768F40D0" w14:textId="77777777" w:rsidR="000867DB" w:rsidRDefault="000867DB" w:rsidP="00803905"/>
    <w:p w14:paraId="20205DA9" w14:textId="358159B6" w:rsidR="00867B39" w:rsidRPr="00B65681" w:rsidRDefault="00867B39" w:rsidP="00803905">
      <w:pPr>
        <w:pStyle w:val="ListParagraph"/>
        <w:numPr>
          <w:ilvl w:val="0"/>
          <w:numId w:val="21"/>
        </w:numPr>
        <w:rPr>
          <w:b/>
        </w:rPr>
      </w:pPr>
      <w:r w:rsidRPr="00756BA5">
        <w:rPr>
          <w:b/>
        </w:rPr>
        <w:t>Was there evidence of pre-pandemic concerns around digital health care and equity/inequality?</w:t>
      </w:r>
    </w:p>
    <w:p w14:paraId="14B5E54D" w14:textId="5A426720" w:rsidR="001233D4" w:rsidRDefault="001233D4" w:rsidP="001233D4">
      <w:pPr>
        <w:rPr>
          <w:rFonts w:cstheme="minorBidi"/>
          <w:color w:val="auto"/>
        </w:rPr>
      </w:pPr>
      <w:r>
        <w:t>For two decades before the C</w:t>
      </w:r>
      <w:r w:rsidR="00A2518B">
        <w:t>OVID</w:t>
      </w:r>
      <w:r>
        <w:t xml:space="preserve">-19 pandemic had reached the UK, the motivation for the NHS to make better use of digital technology had already started to gain traction. </w:t>
      </w:r>
    </w:p>
    <w:p w14:paraId="212A8AB3" w14:textId="4CAC461F" w:rsidR="001233D4" w:rsidRDefault="001233D4" w:rsidP="001233D4">
      <w:r>
        <w:t>The Long Term Plan promised fully digitised secondary care services by 2024</w:t>
      </w:r>
      <w:r w:rsidR="00530268">
        <w:t>.</w:t>
      </w:r>
      <w:r w:rsidR="00530268">
        <w:fldChar w:fldCharType="begin"/>
      </w:r>
      <w:r w:rsidR="00FA5363">
        <w:instrText xml:space="preserve"> ADDIN EN.CITE &lt;EndNote&gt;&lt;Cite&gt;&lt;Year&gt;2019&lt;/Year&gt;&lt;IDText&gt;The NHS Long Term Plan&lt;/IDText&gt;&lt;DisplayText&gt;[6]&lt;/DisplayText&gt;&lt;record&gt;&lt;titles&gt;&lt;title&gt;The NHS Long Term Plan&lt;/title&gt;&lt;/titles&gt;&lt;added-date format="utc"&gt;1629150316&lt;/added-date&gt;&lt;pub-location&gt;London, UK&lt;/pub-location&gt;&lt;ref-type name="Web Page"&gt;12&lt;/ref-type&gt;&lt;dates&gt;&lt;year&gt;2019&lt;/year&gt;&lt;/dates&gt;&lt;rec-number&gt;223&lt;/rec-number&gt;&lt;last-updated-date format="utc"&gt;1629150414&lt;/last-updated-date&gt;&lt;/record&gt;&lt;/Cite&gt;&lt;/EndNote&gt;</w:instrText>
      </w:r>
      <w:r w:rsidR="00530268">
        <w:fldChar w:fldCharType="separate"/>
      </w:r>
      <w:r w:rsidR="00FA5363">
        <w:rPr>
          <w:noProof/>
        </w:rPr>
        <w:t>[6]</w:t>
      </w:r>
      <w:r w:rsidR="00530268">
        <w:fldChar w:fldCharType="end"/>
      </w:r>
      <w:r>
        <w:t xml:space="preserve"> This followed The Future of Healthcare, the government’s vision for digital, data and technology in health and social care </w:t>
      </w:r>
      <w:r w:rsidR="009D0D95" w:rsidRPr="00A16301">
        <w:t>DHSC 2018</w:t>
      </w:r>
      <w:r w:rsidR="009D0D95">
        <w:t xml:space="preserve"> </w:t>
      </w:r>
      <w:r>
        <w:t>which had placed a clear national and strategic focus on the actions required to support a digital NHS</w:t>
      </w:r>
      <w:r w:rsidR="00A16301">
        <w:t>.</w:t>
      </w:r>
      <w:r w:rsidR="00A16301">
        <w:fldChar w:fldCharType="begin"/>
      </w:r>
      <w:r w:rsidR="00FA5363">
        <w:instrText xml:space="preserve"> ADDIN EN.CITE &lt;EndNote&gt;&lt;Cite&gt;&lt;Author&gt;UK&lt;/Author&gt;&lt;Year&gt;2018&lt;/Year&gt;&lt;IDText&gt; Policy paper. The future&lt;/IDText&gt;&lt;DisplayText&gt;[7]&lt;/DisplayText&gt;&lt;record&gt;&lt;contributors&gt;&lt;tertiary-authors&gt;&lt;author&gt;UK Department of Health and Social care.&lt;/author&gt;&lt;/tertiary-authors&gt;&lt;/contributors&gt;&lt;titles&gt;&lt;title&gt; Policy paper. The future&amp;#xA;of healthcare: our vision for digital, data and technology in health and care.&lt;/title&gt;&lt;/titles&gt;&lt;contributors&gt;&lt;authors&gt;&lt;author&gt;UK Department of Health and Social care&lt;/author&gt;&lt;/authors&gt;&lt;/contributors&gt;&lt;added-date format="utc"&gt;1633082340&lt;/added-date&gt;&lt;ref-type name="Report"&gt;27&lt;/ref-type&gt;&lt;dates&gt;&lt;year&gt;2018&lt;/year&gt;&lt;/dates&gt;&lt;rec-number&gt;294&lt;/rec-number&gt;&lt;last-updated-date format="utc"&gt;1633082373&lt;/last-updated-date&gt;&lt;/record&gt;&lt;/Cite&gt;&lt;/EndNote&gt;</w:instrText>
      </w:r>
      <w:r w:rsidR="00A16301">
        <w:fldChar w:fldCharType="separate"/>
      </w:r>
      <w:r w:rsidR="00FA5363">
        <w:rPr>
          <w:noProof/>
        </w:rPr>
        <w:t>[7]</w:t>
      </w:r>
      <w:r w:rsidR="00A16301">
        <w:fldChar w:fldCharType="end"/>
      </w:r>
      <w:r>
        <w:t xml:space="preserve"> This policy paper for the future of digital healthcare contained just one short paragraph amongst it that acknowledged that any digital progression and innovation could potentially put those with the greatest health issues at risk </w:t>
      </w:r>
      <w:r w:rsidR="00B65681">
        <w:t>of ‘</w:t>
      </w:r>
      <w:r>
        <w:t>being left behind</w:t>
      </w:r>
      <w:r w:rsidR="00B65681">
        <w:t>’ but</w:t>
      </w:r>
      <w:r>
        <w:t xml:space="preserve"> reinforced that any systems developed should be co-produced in order to exclude this possibility.</w:t>
      </w:r>
    </w:p>
    <w:p w14:paraId="7817B2B1" w14:textId="77777777" w:rsidR="001233D4" w:rsidRDefault="001233D4" w:rsidP="001233D4">
      <w:r>
        <w:t>Both documents followed a string of policies that had already seen the timelines for creating a digital NHS pushed back, reflecting how the scale of the challenge had consistently been underestimated. In 2019 a new government unit, NHSX, was established, tasked with delivering an ambitious programme of work to lead the digital transformation of health and social care.</w:t>
      </w:r>
    </w:p>
    <w:p w14:paraId="6A765870" w14:textId="080AFE43" w:rsidR="001233D4" w:rsidRDefault="001233D4" w:rsidP="001233D4">
      <w:r>
        <w:t>The Long Term Plan detailed that by 2023/24 patients would have a right to a ‘digital-first’ primary care consultation. Prior to the pandemic, around 80% of GP appointments took place face-to-face. As of June 2020, this had fallen to just under half, with around the same amount taking place over the telephone</w:t>
      </w:r>
      <w:r w:rsidR="009D0D95">
        <w:t>.</w:t>
      </w:r>
      <w:r w:rsidR="00110098">
        <w:fldChar w:fldCharType="begin"/>
      </w:r>
      <w:r w:rsidR="00FA5363">
        <w:instrText xml:space="preserve"> ADDIN EN.CITE &lt;EndNote&gt;&lt;Cite&gt;&lt;Author&gt;Spencer&lt;/Author&gt;&lt;Year&gt;2020&lt;/Year&gt;&lt;IDText&gt;‘How has lockdown affected general practice and where do we go from here?&amp;apos;&lt;/IDText&gt;&lt;DisplayText&gt;[8]&lt;/DisplayText&gt;&lt;record&gt;&lt;urls&gt;&lt;related-urls&gt;&lt;url&gt;www.nuffieldtrust.org.uk/news-item/how-has-lockdown-affectedgeneral-practice-and-where-do-we-go-from-here.&lt;/url&gt;&lt;/related-urls&gt;&lt;/urls&gt;&lt;titles&gt;&lt;title&gt;‘How has lockdown affected general practice and where do we go from here?&amp;apos;&lt;/title&gt;&lt;secondary-title&gt;Nuffield Trust blog&lt;/secondary-title&gt;&lt;/titles&gt;&lt;access-date&gt;June/2021&lt;/access-date&gt;&lt;contributors&gt;&lt;authors&gt;&lt;author&gt;Spencer, C&lt;/author&gt;&lt;author&gt;Oung, J&lt;/author&gt;&lt;/authors&gt;&lt;/contributors&gt;&lt;added-date format="utc"&gt;1629150316&lt;/added-date&gt;&lt;ref-type name="Online Multimedia"&gt;48&lt;/ref-type&gt;&lt;dates&gt;&lt;year&gt;2020&lt;/year&gt;&lt;/dates&gt;&lt;rec-number&gt;225&lt;/rec-number&gt;&lt;last-updated-date format="utc"&gt;1629150414&lt;/last-updated-date&gt;&lt;/record&gt;&lt;/Cite&gt;&lt;/EndNote&gt;</w:instrText>
      </w:r>
      <w:r w:rsidR="00110098">
        <w:fldChar w:fldCharType="separate"/>
      </w:r>
      <w:r w:rsidR="00FA5363">
        <w:rPr>
          <w:noProof/>
        </w:rPr>
        <w:t>[8]</w:t>
      </w:r>
      <w:r w:rsidR="00110098">
        <w:fldChar w:fldCharType="end"/>
      </w:r>
      <w:r w:rsidR="00110098">
        <w:t xml:space="preserve"> </w:t>
      </w:r>
      <w:r>
        <w:rPr>
          <w:shd w:val="clear" w:color="auto" w:fill="FFFFFF"/>
        </w:rPr>
        <w:t xml:space="preserve">However, concern had existed in the literature prior to the pandemic around the impact of digital healthcare on inequality. </w:t>
      </w:r>
      <w:r>
        <w:t>Health inequalities and the social determinants of illness and disease had received growing attention within public health research a long time prior to the pandemic. This work was crucial in understanding the link between social inequalities and deleterious health outcomes</w:t>
      </w:r>
      <w:r w:rsidR="00110098">
        <w:t>.</w:t>
      </w:r>
      <w:r w:rsidR="00110098">
        <w:fldChar w:fldCharType="begin"/>
      </w:r>
      <w:r w:rsidR="00FA5363">
        <w:instrText xml:space="preserve"> ADDIN EN.CITE &lt;EndNote&gt;&lt;Cite&gt;&lt;Author&gt;Peacock M&lt;/Author&gt;&lt;Year&gt;2014&lt;/Year&gt;&lt;IDText&gt;Dependency denied: Health inequalities in the neo-liberal era&lt;/IDText&gt;&lt;DisplayText&gt;[9]&lt;/DisplayText&gt;&lt;record&gt;&lt;titles&gt;&lt;title&gt;Dependency denied: Health inequalities in the neo-liberal era&lt;/title&gt;&lt;secondary-title&gt;Social Science &amp;amp; Medicine, 118&lt;/secondary-title&gt;&lt;/titles&gt;&lt;pages&gt;173 -180&lt;/pages&gt;&lt;contributors&gt;&lt;authors&gt;&lt;author&gt;Peacock M, Bissel P, Owen J&lt;/author&gt;&lt;/authors&gt;&lt;/contributors&gt;&lt;added-date format="utc"&gt;1629150316&lt;/added-date&gt;&lt;ref-type name="Journal Article"&gt;17&lt;/ref-type&gt;&lt;dates&gt;&lt;year&gt;2014&lt;/year&gt;&lt;/dates&gt;&lt;rec-number&gt;226&lt;/rec-number&gt;&lt;last-updated-date format="utc"&gt;1629150414&lt;/last-updated-date&gt;&lt;/record&gt;&lt;/Cite&gt;&lt;/EndNote&gt;</w:instrText>
      </w:r>
      <w:r w:rsidR="00110098">
        <w:fldChar w:fldCharType="separate"/>
      </w:r>
      <w:r w:rsidR="00FA5363">
        <w:rPr>
          <w:noProof/>
        </w:rPr>
        <w:t>[9]</w:t>
      </w:r>
      <w:r w:rsidR="00110098">
        <w:fldChar w:fldCharType="end"/>
      </w:r>
      <w:r w:rsidR="009D0D95">
        <w:t xml:space="preserve"> </w:t>
      </w:r>
      <w:r>
        <w:t xml:space="preserve">This literature was a body of work that had focused attention on policymaking as </w:t>
      </w:r>
      <w:r>
        <w:lastRenderedPageBreak/>
        <w:t>a route towards making meaningful changes to the fair distribution of healthcare services</w:t>
      </w:r>
      <w:r>
        <w:rPr>
          <w:rFonts w:ascii="Arial" w:hAnsi="Arial" w:cs="Arial"/>
          <w:color w:val="444444"/>
          <w:sz w:val="27"/>
          <w:szCs w:val="27"/>
          <w:shd w:val="clear" w:color="auto" w:fill="FFFFFF"/>
        </w:rPr>
        <w:t xml:space="preserve">. </w:t>
      </w:r>
      <w:r>
        <w:t>In this context, digital health technologies had been positioned by governments around the world as central to the delivery of a fair healthcare system.</w:t>
      </w:r>
    </w:p>
    <w:p w14:paraId="592BA970" w14:textId="41C67835" w:rsidR="001233D4" w:rsidRDefault="001233D4" w:rsidP="001233D4">
      <w:r>
        <w:t>Rich et al (2019) highlighted that the presumption that conversion to digital health services from an analogue world would deliver on such ambitions needed careful analysis and verification.</w:t>
      </w:r>
      <w:r w:rsidR="00A16301">
        <w:fldChar w:fldCharType="begin"/>
      </w:r>
      <w:r w:rsidR="00FA5363">
        <w:instrText xml:space="preserve"> ADDIN EN.CITE &lt;EndNote&gt;&lt;Cite&gt;&lt;Author&gt;Rich&lt;/Author&gt;&lt;Year&gt;2019&lt;/Year&gt;&lt;IDText&gt;Is digital health care more equitable? The framing of health inequalities within England&amp;apos;s digital health policy 2010–2017&lt;/IDText&gt;&lt;DisplayText&gt;[10]&lt;/DisplayText&gt;&lt;record&gt;&lt;urls&gt;&lt;related-urls&gt;&lt;url&gt;https://onlinelibrary.wiley.com/doi/abs/10.1111/1467-9566.12980&lt;/url&gt;&lt;/related-urls&gt;&lt;/urls&gt;&lt;isbn&gt;0141-9889&lt;/isbn&gt;&lt;titles&gt;&lt;title&gt;Is digital health care more equitable? The framing of health inequalities within England&amp;apos;s digital health policy 2010–2017&lt;/title&gt;&lt;secondary-title&gt;Sociology of Health &amp;amp; Illness&lt;/secondary-title&gt;&lt;/titles&gt;&lt;pages&gt;31-49&lt;/pages&gt;&lt;number&gt;S1&lt;/number&gt;&lt;contributors&gt;&lt;authors&gt;&lt;author&gt;Rich, Emma&lt;/author&gt;&lt;author&gt;Miah, Andy&lt;/author&gt;&lt;author&gt;Lewis, Sarah&lt;/author&gt;&lt;/authors&gt;&lt;/contributors&gt;&lt;added-date format="utc"&gt;1633083086&lt;/added-date&gt;&lt;ref-type name="Journal Article"&gt;17&lt;/ref-type&gt;&lt;dates&gt;&lt;year&gt;2019&lt;/year&gt;&lt;/dates&gt;&lt;rec-number&gt;296&lt;/rec-number&gt;&lt;last-updated-date format="utc"&gt;1633083086&lt;/last-updated-date&gt;&lt;electronic-resource-num&gt;https://doi.org/10.1111/1467-9566.12980&lt;/electronic-resource-num&gt;&lt;volume&gt;41&lt;/volume&gt;&lt;/record&gt;&lt;/Cite&gt;&lt;/EndNote&gt;</w:instrText>
      </w:r>
      <w:r w:rsidR="00A16301">
        <w:fldChar w:fldCharType="separate"/>
      </w:r>
      <w:r w:rsidR="00FA5363">
        <w:rPr>
          <w:noProof/>
        </w:rPr>
        <w:t>[10]</w:t>
      </w:r>
      <w:r w:rsidR="00A16301">
        <w:fldChar w:fldCharType="end"/>
      </w:r>
      <w:r w:rsidR="009D0D95">
        <w:t xml:space="preserve"> </w:t>
      </w:r>
      <w:r>
        <w:t xml:space="preserve">They noted that there was a great variation in the way in which digital health is experienced by patients, it includes but is not limited to, web-based solutions, mobile phone and tablet applications, the integration of artificially intelligent platforms, the utilisation of wearable devices that track biometric information and the proliferation of social media environments, each of which may have varying impacts on health care equity. Their article presented findings from a discourse analysis of a selection of UK governmental policy documents on digital health, highlighting concerns about how digital access and equality are constituted through and absent within these documents. They argued there was a need for policymakers to engage with the social, cultural, geographical, political contexts that mediate, limit and provide opportunity for access and engagement with digital health technologies and the data they generate to understand the impact these innovations may have on digital healthcare inequality. </w:t>
      </w:r>
    </w:p>
    <w:p w14:paraId="7B1004FA" w14:textId="5800982B" w:rsidR="001233D4" w:rsidRDefault="001233D4" w:rsidP="001233D4">
      <w:r>
        <w:t>The authors acknowledged that discussions and consultations were beginning to take place as they had completed their research. However, before the results of these consultations could be concluded C</w:t>
      </w:r>
      <w:r w:rsidR="00A2518B">
        <w:t>OVID</w:t>
      </w:r>
      <w:r>
        <w:t xml:space="preserve">-19 had emerged and </w:t>
      </w:r>
      <w:r>
        <w:rPr>
          <w:shd w:val="clear" w:color="auto" w:fill="FFFFFF"/>
        </w:rPr>
        <w:t>the response to the pandemic saw a rapid shift to the adoption of digital approaches to working and engaging with populations. Therefore, it is now important to understand the pre-existing</w:t>
      </w:r>
      <w:r w:rsidR="00EE637A">
        <w:rPr>
          <w:shd w:val="clear" w:color="auto" w:fill="FFFFFF"/>
        </w:rPr>
        <w:t xml:space="preserve"> </w:t>
      </w:r>
      <w:r>
        <w:rPr>
          <w:shd w:val="clear" w:color="auto" w:fill="FFFFFF"/>
        </w:rPr>
        <w:t>concerns and underlying factors contributing to digital inequalities and act immediately to avoid digital inequality contributing to health inequalities in the future. </w:t>
      </w:r>
    </w:p>
    <w:p w14:paraId="66581096" w14:textId="77777777" w:rsidR="00DF3485" w:rsidRPr="00B93AB3" w:rsidRDefault="00DF3485" w:rsidP="00803905">
      <w:pPr>
        <w:rPr>
          <w:b/>
        </w:rPr>
      </w:pPr>
    </w:p>
    <w:p w14:paraId="06752A5F" w14:textId="3ED719BD" w:rsidR="005002D0" w:rsidRPr="00B65681" w:rsidRDefault="00867B39" w:rsidP="00803905">
      <w:pPr>
        <w:pStyle w:val="ListParagraph"/>
        <w:numPr>
          <w:ilvl w:val="0"/>
          <w:numId w:val="21"/>
        </w:numPr>
        <w:rPr>
          <w:b/>
        </w:rPr>
      </w:pPr>
      <w:r w:rsidRPr="00756BA5">
        <w:rPr>
          <w:b/>
        </w:rPr>
        <w:t>What was the impact of the pandemic on those most likely to be excluded?</w:t>
      </w:r>
    </w:p>
    <w:p w14:paraId="57E72E2A" w14:textId="4BE7DA53" w:rsidR="00850F6D" w:rsidRDefault="00850F6D" w:rsidP="00803905">
      <w:pPr>
        <w:rPr>
          <w:color w:val="auto"/>
        </w:rPr>
      </w:pPr>
      <w:r w:rsidRPr="007B60DE">
        <w:rPr>
          <w:color w:val="auto"/>
        </w:rPr>
        <w:t>In March</w:t>
      </w:r>
      <w:r>
        <w:rPr>
          <w:color w:val="auto"/>
        </w:rPr>
        <w:t xml:space="preserve"> 2020</w:t>
      </w:r>
      <w:r w:rsidRPr="007B60DE">
        <w:rPr>
          <w:color w:val="auto"/>
        </w:rPr>
        <w:t xml:space="preserve">, NHS England advised GPs of routine primary care services that could be suspended during the pandemic and that care should be delivered remotely wherever possible. </w:t>
      </w:r>
      <w:r w:rsidRPr="007B60DE">
        <w:rPr>
          <w:iCs/>
          <w:color w:val="auto"/>
          <w:shd w:val="clear" w:color="auto" w:fill="FFFFFF"/>
        </w:rPr>
        <w:t>There was a wholesale shift to virtual communication with patients. Under NHS guidance, remote consultation (via telephone, online message or video) was rapidly introduced to replace face-to-face consultation.</w:t>
      </w:r>
      <w:r>
        <w:rPr>
          <w:iCs/>
          <w:color w:val="auto"/>
          <w:shd w:val="clear" w:color="auto" w:fill="FFFFFF"/>
        </w:rPr>
        <w:t xml:space="preserve"> However, </w:t>
      </w:r>
      <w:r>
        <w:rPr>
          <w:color w:val="auto"/>
          <w:shd w:val="clear" w:color="auto" w:fill="FFFFFF"/>
        </w:rPr>
        <w:t xml:space="preserve">there is evidence to support that the number of available remote consultations has not completely replaced face-to-face meaning capacity is reduced regardless of ability to access.  </w:t>
      </w:r>
      <w:r w:rsidRPr="00DA7AB5">
        <w:rPr>
          <w:color w:val="auto"/>
          <w:shd w:val="clear" w:color="auto" w:fill="FFFFFF"/>
        </w:rPr>
        <w:t xml:space="preserve">There is evidence of pre-pandemic inequality in access to healthcare services. For example in England, the number of patients per general practitioner is 15% higher in the most deprived areas than that in the </w:t>
      </w:r>
      <w:r w:rsidRPr="00DA7AB5">
        <w:rPr>
          <w:color w:val="auto"/>
          <w:shd w:val="clear" w:color="auto" w:fill="FFFFFF"/>
        </w:rPr>
        <w:lastRenderedPageBreak/>
        <w:t>least deprived areas</w:t>
      </w:r>
      <w:r w:rsidR="00FE3A3C">
        <w:rPr>
          <w:color w:val="auto"/>
          <w:shd w:val="clear" w:color="auto" w:fill="FFFFFF"/>
        </w:rPr>
        <w:t>.</w:t>
      </w:r>
      <w:r w:rsidRPr="00DA7AB5">
        <w:rPr>
          <w:color w:val="auto"/>
          <w:shd w:val="clear" w:color="auto" w:fill="FFFFFF"/>
        </w:rPr>
        <w:fldChar w:fldCharType="begin"/>
      </w:r>
      <w:r w:rsidR="00FA5363">
        <w:rPr>
          <w:color w:val="auto"/>
          <w:shd w:val="clear" w:color="auto" w:fill="FFFFFF"/>
        </w:rPr>
        <w:instrText xml:space="preserve"> ADDIN EN.CITE &lt;EndNote&gt;&lt;Cite&gt;&lt;Author&gt;Iacobucci&lt;/Author&gt;&lt;Year&gt;2019&lt;/Year&gt;&lt;IDText&gt;GPs in deprived areas face severest pressures, analysis shows&lt;/IDText&gt;&lt;DisplayText&gt;[11]&lt;/DisplayText&gt;&lt;record&gt;&lt;dates&gt;&lt;pub-dates&gt;&lt;date&gt;May&lt;/date&gt;&lt;/pub-dates&gt;&lt;year&gt;2019&lt;/year&gt;&lt;/dates&gt;&lt;urls&gt;&lt;related-urls&gt;&lt;url&gt;https://www.ncbi.nlm.nih.gov/pubmed/31068337&lt;/url&gt;&lt;/related-urls&gt;&lt;/urls&gt;&lt;isbn&gt;1756-1833&lt;/isbn&gt;&lt;titles&gt;&lt;title&gt;GPs in deprived areas face severest pressures, analysis shows&lt;/title&gt;&lt;secondary-title&gt;BMJ&lt;/secondary-title&gt;&lt;/titles&gt;&lt;pages&gt;l2104&lt;/pages&gt;&lt;contributors&gt;&lt;authors&gt;&lt;author&gt;Iacobucci, G.&lt;/author&gt;&lt;/authors&gt;&lt;/contributors&gt;&lt;edition&gt;2019/05/08&lt;/edition&gt;&lt;language&gt;eng&lt;/language&gt;&lt;added-date format="utc"&gt;1619123691&lt;/added-date&gt;&lt;ref-type name="Journal Article"&gt;17&lt;/ref-type&gt;&lt;rec-number&gt;28&lt;/rec-number&gt;&lt;last-updated-date format="utc"&gt;1619123691&lt;/last-updated-date&gt;&lt;accession-num&gt;31068337&lt;/accession-num&gt;&lt;electronic-resource-num&gt;10.1136/bmj.l2104&lt;/electronic-resource-num&gt;&lt;volume&gt;365&lt;/volume&gt;&lt;/record&gt;&lt;/Cite&gt;&lt;/EndNote&gt;</w:instrText>
      </w:r>
      <w:r w:rsidRPr="00DA7AB5">
        <w:rPr>
          <w:color w:val="auto"/>
          <w:shd w:val="clear" w:color="auto" w:fill="FFFFFF"/>
        </w:rPr>
        <w:fldChar w:fldCharType="separate"/>
      </w:r>
      <w:r w:rsidR="00FA5363">
        <w:rPr>
          <w:noProof/>
          <w:color w:val="auto"/>
          <w:shd w:val="clear" w:color="auto" w:fill="FFFFFF"/>
        </w:rPr>
        <w:t>[11]</w:t>
      </w:r>
      <w:r w:rsidRPr="00DA7AB5">
        <w:rPr>
          <w:color w:val="auto"/>
          <w:shd w:val="clear" w:color="auto" w:fill="FFFFFF"/>
        </w:rPr>
        <w:fldChar w:fldCharType="end"/>
      </w:r>
      <w:r w:rsidRPr="00DA7AB5">
        <w:rPr>
          <w:color w:val="auto"/>
          <w:shd w:val="clear" w:color="auto" w:fill="FFFFFF"/>
        </w:rPr>
        <w:t xml:space="preserve"> It is known that people living in more socio-economically disadvantaged neighbourhoods and minority ethnic groups have higher rates of many chronic conditions, including hypertension, diabetes, asthma, chronic obstructive pulmonary disease, heart disease, liver disease, renal disease, cancer, cardiovascular disease, and obesity.  </w:t>
      </w:r>
      <w:r w:rsidRPr="00DA7AB5">
        <w:rPr>
          <w:color w:val="auto"/>
        </w:rPr>
        <w:t>As a result of health services having to focus on combating the pandemic, there has been a significant reduction in access to health care across the board. Given what we know about inequalities in morbidity and the need for health services, this will disproportionately impact on people with chronic long-term conditions, older people and people living in more deprived communities</w:t>
      </w:r>
      <w:r>
        <w:rPr>
          <w:color w:val="auto"/>
        </w:rPr>
        <w:t>.</w:t>
      </w:r>
    </w:p>
    <w:p w14:paraId="4EFE7D18" w14:textId="03A8E1AE" w:rsidR="009C6878" w:rsidRDefault="009C6878" w:rsidP="009C6878">
      <w:pPr>
        <w:rPr>
          <w:color w:val="auto"/>
        </w:rPr>
      </w:pPr>
      <w:r w:rsidRPr="00DA7AB5">
        <w:rPr>
          <w:color w:val="auto"/>
          <w:shd w:val="clear" w:color="auto" w:fill="FFFFFF"/>
        </w:rPr>
        <w:t>The impact of COVID-19 on health inequalities has been widely examined with the recent COVID-19 Marmot review offering a comprehensive review and recommendations</w:t>
      </w:r>
      <w:r w:rsidR="00FE3A3C">
        <w:rPr>
          <w:color w:val="auto"/>
          <w:shd w:val="clear" w:color="auto" w:fill="FFFFFF"/>
        </w:rPr>
        <w:t>.</w:t>
      </w:r>
      <w:r w:rsidRPr="00DA7AB5">
        <w:rPr>
          <w:color w:val="auto"/>
          <w:shd w:val="clear" w:color="auto" w:fill="FFFFFF"/>
        </w:rPr>
        <w:fldChar w:fldCharType="begin"/>
      </w:r>
      <w:r w:rsidR="00FA5363">
        <w:rPr>
          <w:color w:val="auto"/>
          <w:shd w:val="clear" w:color="auto" w:fill="FFFFFF"/>
        </w:rPr>
        <w:instrText xml:space="preserve"> ADDIN EN.CITE &lt;EndNote&gt;&lt;Cite&gt;&lt;Author&gt;Michael&lt;/Author&gt;&lt;Year&gt;2020&lt;/Year&gt;&lt;IDText&gt;Build&lt;/IDText&gt;&lt;DisplayText&gt;[12]&lt;/DisplayText&gt;&lt;record&gt;&lt;contributors&gt;&lt;tertiary-authors&gt;&lt;author&gt;Institute of Health Equity&lt;/author&gt;&lt;/tertiary-authors&gt;&lt;/contributors&gt;&lt;titles&gt;&lt;title&gt;Build&amp;#xA;Back Fairer: The COVID-19 Marmot Review. The Pandemic, Socioeconomic and Health Inequalities in England&lt;/title&gt;&lt;/titles&gt;&lt;contributors&gt;&lt;authors&gt;&lt;author&gt;Michael Marmot&lt;/author&gt;&lt;author&gt;Jessica Allen&lt;/author&gt;&lt;author&gt;Peter Goldblatt&lt;/author&gt;&lt;author&gt;Eleanor Herd&lt;/author&gt;&lt;author&gt;Joana Morrison&lt;/author&gt;&lt;/authors&gt;&lt;/contributors&gt;&lt;added-date format="utc"&gt;1619171418&lt;/added-date&gt;&lt;pub-location&gt;London&lt;/pub-location&gt;&lt;ref-type name="Report"&gt;27&lt;/ref-type&gt;&lt;dates&gt;&lt;year&gt;2020&lt;/year&gt;&lt;/dates&gt;&lt;rec-number&gt;32&lt;/rec-number&gt;&lt;last-updated-date format="utc"&gt;1619171478&lt;/last-updated-date&gt;&lt;/record&gt;&lt;/Cite&gt;&lt;/EndNote&gt;</w:instrText>
      </w:r>
      <w:r w:rsidRPr="00DA7AB5">
        <w:rPr>
          <w:color w:val="auto"/>
          <w:shd w:val="clear" w:color="auto" w:fill="FFFFFF"/>
        </w:rPr>
        <w:fldChar w:fldCharType="separate"/>
      </w:r>
      <w:r w:rsidR="00FA5363">
        <w:rPr>
          <w:noProof/>
          <w:color w:val="auto"/>
          <w:shd w:val="clear" w:color="auto" w:fill="FFFFFF"/>
        </w:rPr>
        <w:t>[12]</w:t>
      </w:r>
      <w:r w:rsidRPr="00DA7AB5">
        <w:rPr>
          <w:color w:val="auto"/>
          <w:shd w:val="clear" w:color="auto" w:fill="FFFFFF"/>
        </w:rPr>
        <w:fldChar w:fldCharType="end"/>
      </w:r>
      <w:r w:rsidRPr="00DA7AB5">
        <w:rPr>
          <w:color w:val="auto"/>
          <w:shd w:val="clear" w:color="auto" w:fill="FFFFFF"/>
        </w:rPr>
        <w:t xml:space="preserve"> Inequalities will not just be a result of virus-related infection and mortality, but also due to the health consequences of the policy responses that have been implemented. The</w:t>
      </w:r>
      <w:r w:rsidRPr="00DA7AB5">
        <w:rPr>
          <w:color w:val="auto"/>
        </w:rPr>
        <w:t xml:space="preserve"> loss of essential health services including preventive services, diagnosis, treatment, and rehabilitation, is likely to have disproportionate adverse health effects on disadvantaged or vulnerable populations. Inequalities in the impact of the reduction of these NHS services has not yet been evaluated but given inequalities in the </w:t>
      </w:r>
      <w:r w:rsidRPr="00DA7AB5">
        <w:rPr>
          <w:color w:val="auto"/>
          <w:shd w:val="clear" w:color="auto" w:fill="FFFFFF"/>
        </w:rPr>
        <w:t>access to health care and higher rates of comorbidities and higher</w:t>
      </w:r>
      <w:r w:rsidRPr="00DA7AB5">
        <w:rPr>
          <w:color w:val="auto"/>
        </w:rPr>
        <w:t xml:space="preserve"> burden of non-communicable diseases and in access to technology, it is likely that people from disadvantaged communities and groups will be disproportionally impacted. </w:t>
      </w:r>
    </w:p>
    <w:p w14:paraId="1411E334" w14:textId="77777777" w:rsidR="00850F6D" w:rsidRDefault="00850F6D" w:rsidP="00850F6D">
      <w:pPr>
        <w:rPr>
          <w:color w:val="auto"/>
          <w:shd w:val="clear" w:color="auto" w:fill="FFFFFF"/>
        </w:rPr>
      </w:pPr>
      <w:r w:rsidRPr="007B60DE">
        <w:rPr>
          <w:color w:val="auto"/>
          <w:shd w:val="clear" w:color="auto" w:fill="FFFFFF"/>
        </w:rPr>
        <w:t>A lack of health literacy leaves disadvantaged individuals and groups even more at the mercy of disinformation, polarization, and vulnerability concerning the virus and its pathology and prognosis especially during the pandemic when remote consultation has been rapidly introduced to replace face-to-face consultation.</w:t>
      </w:r>
      <w:r>
        <w:rPr>
          <w:color w:val="auto"/>
          <w:shd w:val="clear" w:color="auto" w:fill="FFFFFF"/>
        </w:rPr>
        <w:t xml:space="preserve"> </w:t>
      </w:r>
      <w:r w:rsidRPr="007B60DE">
        <w:rPr>
          <w:color w:val="auto"/>
          <w:shd w:val="clear" w:color="auto" w:fill="FFFFFF"/>
        </w:rPr>
        <w:t>Limited language proficiency, due to educational and cultural barriers and/or immigrant status and exposure, detracts from effective communication between patients and health‐care providers, accounting for additional health disparities.</w:t>
      </w:r>
    </w:p>
    <w:p w14:paraId="7211E4D8" w14:textId="281A144F" w:rsidR="00B93AB3" w:rsidRPr="00FE3A3C" w:rsidRDefault="00850F6D" w:rsidP="00FE3A3C">
      <w:pPr>
        <w:rPr>
          <w:color w:val="auto"/>
          <w:shd w:val="clear" w:color="auto" w:fill="FFFFFF"/>
        </w:rPr>
      </w:pPr>
      <w:r>
        <w:rPr>
          <w:color w:val="auto"/>
        </w:rPr>
        <w:t>To summarise, t</w:t>
      </w:r>
      <w:r w:rsidR="009C6878" w:rsidRPr="00DA7AB5">
        <w:rPr>
          <w:color w:val="auto"/>
        </w:rPr>
        <w:t>he burden of disruptions to health care services has disproportionately fallen on the individuals that are most likely to require care in the first place, and least likely to be able to substitute temporarily for other types of care, or to go without care completely. This has been recognised in phase three of the NHS response to the COVID-19 pandemic which sets out a series of measures to mitigate any inequalities arising from the lockdown. It states that NHS services must be restored inclusively and prioritised by need and a</w:t>
      </w:r>
      <w:r w:rsidR="009C6878" w:rsidRPr="00DA7AB5">
        <w:rPr>
          <w:bCs/>
          <w:color w:val="auto"/>
        </w:rPr>
        <w:t>ction 2</w:t>
      </w:r>
      <w:r w:rsidR="009C6878" w:rsidRPr="00DA7AB5">
        <w:rPr>
          <w:color w:val="auto"/>
        </w:rPr>
        <w:t xml:space="preserve"> of the recovery plan aims to restore services inclusively- specifically supporting those who may have had unequal access to diagnosis and treatment during the pandemic.</w:t>
      </w:r>
    </w:p>
    <w:p w14:paraId="3E7253E2" w14:textId="60E01404" w:rsidR="00756BA5" w:rsidRPr="00FE3A3C" w:rsidRDefault="00867B39" w:rsidP="00FE3A3C">
      <w:pPr>
        <w:pStyle w:val="ListParagraph"/>
        <w:numPr>
          <w:ilvl w:val="0"/>
          <w:numId w:val="21"/>
        </w:numPr>
        <w:rPr>
          <w:b/>
        </w:rPr>
      </w:pPr>
      <w:r w:rsidRPr="00B54CF8">
        <w:rPr>
          <w:b/>
        </w:rPr>
        <w:lastRenderedPageBreak/>
        <w:t>What guidelines have been issued regarding inclusive digital health care?</w:t>
      </w:r>
    </w:p>
    <w:p w14:paraId="4308DC65" w14:textId="43D15FF7" w:rsidR="00D70641" w:rsidRPr="006279EB" w:rsidRDefault="00D70641" w:rsidP="009948F5">
      <w:r w:rsidRPr="006279EB">
        <w:t>Multiple guidance documents and policy statements have highlighted</w:t>
      </w:r>
      <w:r w:rsidR="00FE3A3C">
        <w:t xml:space="preserve"> the</w:t>
      </w:r>
      <w:r w:rsidRPr="006279EB">
        <w:t xml:space="preserve"> importance of digital inclusion in healthcare</w:t>
      </w:r>
      <w:r w:rsidR="00B65681">
        <w:t>:</w:t>
      </w:r>
    </w:p>
    <w:p w14:paraId="3006376A" w14:textId="4CD03FF6" w:rsidR="00D70641" w:rsidRDefault="00D70641" w:rsidP="009948F5">
      <w:pPr>
        <w:pStyle w:val="ListParagraph"/>
        <w:numPr>
          <w:ilvl w:val="0"/>
          <w:numId w:val="24"/>
        </w:numPr>
      </w:pPr>
      <w:r w:rsidRPr="006279EB">
        <w:t xml:space="preserve">The NHS Long Term Plan has made a commitment to reduce health inequalities and address unwarranted variation in care. Digital exclusion is an important form of inequality. Digital exclusion correlates with social disadvantages that include lower income, lower levels of education, and poor housing. It was stipulated that health inequalities will be addressed in the local plans being developed in response to the national Long Term Plan. The NHS </w:t>
      </w:r>
      <w:r w:rsidR="00FE3A3C">
        <w:t>L</w:t>
      </w:r>
      <w:r w:rsidRPr="006279EB">
        <w:t xml:space="preserve">ong </w:t>
      </w:r>
      <w:r w:rsidR="00FE3A3C">
        <w:t>T</w:t>
      </w:r>
      <w:r w:rsidRPr="006279EB">
        <w:t xml:space="preserve">erm </w:t>
      </w:r>
      <w:r w:rsidR="00FE3A3C">
        <w:t>P</w:t>
      </w:r>
      <w:r w:rsidRPr="006279EB">
        <w:t xml:space="preserve">lan states that ‘people will be empowered, and their experience of health and care will be transformed, by the ability to access, manage and contribute to digital tools, information and services’. The NHS </w:t>
      </w:r>
      <w:r w:rsidR="00FE3A3C">
        <w:t>L</w:t>
      </w:r>
      <w:r w:rsidRPr="006279EB">
        <w:t xml:space="preserve">ong </w:t>
      </w:r>
      <w:r w:rsidR="00FE3A3C">
        <w:t>T</w:t>
      </w:r>
      <w:r w:rsidRPr="006279EB">
        <w:t xml:space="preserve">erm </w:t>
      </w:r>
      <w:r w:rsidR="00FE3A3C">
        <w:t>P</w:t>
      </w:r>
      <w:r w:rsidRPr="006279EB">
        <w:t>lan also aims to ‘ensure these technologies work for everyone, from the most digitally literate to the most technology averse and reflect the needs of people trying to stay healthy as well as those with complex conditions’.</w:t>
      </w:r>
      <w:r w:rsidR="000E054E">
        <w:fldChar w:fldCharType="begin"/>
      </w:r>
      <w:r w:rsidR="00FA5363">
        <w:instrText xml:space="preserve"> ADDIN EN.CITE &lt;EndNote&gt;&lt;Cite&gt;&lt;Year&gt;2019&lt;/Year&gt;&lt;IDText&gt;The NHS Long Term Plan&lt;/IDText&gt;&lt;DisplayText&gt;[6]&lt;/DisplayText&gt;&lt;record&gt;&lt;titles&gt;&lt;title&gt;The NHS Long Term Plan&lt;/title&gt;&lt;/titles&gt;&lt;added-date format="utc"&gt;1629150316&lt;/added-date&gt;&lt;pub-location&gt;London, UK&lt;/pub-location&gt;&lt;ref-type name="Web Page"&gt;12&lt;/ref-type&gt;&lt;dates&gt;&lt;year&gt;2019&lt;/year&gt;&lt;/dates&gt;&lt;rec-number&gt;223&lt;/rec-number&gt;&lt;last-updated-date format="utc"&gt;1629150414&lt;/last-updated-date&gt;&lt;/record&gt;&lt;/Cite&gt;&lt;/EndNote&gt;</w:instrText>
      </w:r>
      <w:r w:rsidR="000E054E">
        <w:fldChar w:fldCharType="separate"/>
      </w:r>
      <w:r w:rsidR="00FA5363">
        <w:rPr>
          <w:noProof/>
        </w:rPr>
        <w:t>[6]</w:t>
      </w:r>
      <w:r w:rsidR="000E054E">
        <w:fldChar w:fldCharType="end"/>
      </w:r>
    </w:p>
    <w:p w14:paraId="784CB7EB" w14:textId="77777777" w:rsidR="00FE3A3C" w:rsidRPr="006279EB" w:rsidRDefault="00FE3A3C" w:rsidP="00FE3A3C">
      <w:pPr>
        <w:pStyle w:val="ListParagraph"/>
      </w:pPr>
    </w:p>
    <w:p w14:paraId="0B84734D" w14:textId="6C32A777" w:rsidR="00D70641" w:rsidRDefault="00D70641" w:rsidP="009948F5">
      <w:pPr>
        <w:pStyle w:val="ListParagraph"/>
        <w:numPr>
          <w:ilvl w:val="0"/>
          <w:numId w:val="24"/>
        </w:numPr>
      </w:pPr>
      <w:r w:rsidRPr="006279EB">
        <w:t xml:space="preserve">NHS Digital published ‘A Digital inclusion guide for health and social care’ that emphasised the commitment of </w:t>
      </w:r>
      <w:r w:rsidR="00110098">
        <w:t>t</w:t>
      </w:r>
      <w:r w:rsidRPr="006279EB">
        <w:t>he NHS, and the wider health and care system, to delivering</w:t>
      </w:r>
      <w:r>
        <w:t xml:space="preserve"> </w:t>
      </w:r>
      <w:r w:rsidRPr="006279EB">
        <w:t>information and services digitally wherever appropriate. This was last revised in July 2019 and indicates that it was already recognised pre-pandemic that many of the people who could most benefit from digital services are the least likely to be online.</w:t>
      </w:r>
      <w:r w:rsidR="0032392F">
        <w:fldChar w:fldCharType="begin"/>
      </w:r>
      <w:r w:rsidR="0032392F">
        <w:instrText xml:space="preserve"> ADDIN EN.CITE &lt;EndNote&gt;&lt;Cite&gt;&lt;Author&gt;NHS&lt;/Author&gt;&lt;Year&gt;2019&lt;/Year&gt;&lt;IDText&gt;Digital inclusion guide for health and social care&lt;/IDText&gt;&lt;DisplayText&gt;[13]&lt;/DisplayText&gt;&lt;record&gt;&lt;contributors&gt;&lt;tertiary-authors&gt;&lt;author&gt;NHS Dgital&lt;/author&gt;&lt;/tertiary-authors&gt;&lt;/contributors&gt;&lt;titles&gt;&lt;title&gt;Digital inclusion guide for health and social care&lt;/title&gt;&lt;/titles&gt;&lt;contributors&gt;&lt;authors&gt;&lt;author&gt;NHS Digital&lt;/author&gt;&lt;/authors&gt;&lt;/contributors&gt;&lt;added-date format="utc"&gt;1633081908&lt;/added-date&gt;&lt;ref-type name="Report"&gt;27&lt;/ref-type&gt;&lt;dates&gt;&lt;year&gt;2019&lt;/year&gt;&lt;/dates&gt;&lt;rec-number&gt;292&lt;/rec-number&gt;&lt;last-updated-date format="utc"&gt;1633081987&lt;/last-updated-date&gt;&lt;/record&gt;&lt;/Cite&gt;&lt;/EndNote&gt;</w:instrText>
      </w:r>
      <w:r w:rsidR="0032392F">
        <w:fldChar w:fldCharType="separate"/>
      </w:r>
      <w:r w:rsidR="0032392F">
        <w:t>[13]</w:t>
      </w:r>
      <w:r w:rsidR="0032392F">
        <w:fldChar w:fldCharType="end"/>
      </w:r>
      <w:r w:rsidR="00110098">
        <w:t xml:space="preserve"> </w:t>
      </w:r>
    </w:p>
    <w:p w14:paraId="29E8929E" w14:textId="77777777" w:rsidR="00FE3A3C" w:rsidRPr="006279EB" w:rsidRDefault="00FE3A3C" w:rsidP="00FE3A3C">
      <w:pPr>
        <w:pStyle w:val="ListParagraph"/>
      </w:pPr>
    </w:p>
    <w:p w14:paraId="73481887" w14:textId="148AF29C" w:rsidR="00D70641" w:rsidRPr="006279EB" w:rsidRDefault="00D70641" w:rsidP="009948F5">
      <w:pPr>
        <w:pStyle w:val="ListParagraph"/>
        <w:numPr>
          <w:ilvl w:val="0"/>
          <w:numId w:val="24"/>
        </w:numPr>
      </w:pPr>
      <w:r w:rsidRPr="006279EB">
        <w:t>The Topol review on ‘Preparing the healthcare workforce to deliver the digital future’ highlighted that the use of digital healthcare technologies potentially can exacerbate health inequalities, that could undermine the NHS principles of equal and equitable access to healthcare. It is therefore important to consider the impact of digital exclusion on vulnerable groups.</w:t>
      </w:r>
      <w:r w:rsidR="0032392F">
        <w:fldChar w:fldCharType="begin"/>
      </w:r>
      <w:r w:rsidR="0032392F">
        <w:instrText xml:space="preserve"> ADDIN EN.CITE &lt;EndNote&gt;&lt;Cite&gt;&lt;Author&gt;Health&lt;/Author&gt;&lt;Year&gt;2019&lt;/Year&gt;&lt;IDText&gt;Preparing the healthcare workforce to deliver&lt;/IDText&gt;&lt;DisplayText&gt;[14]&lt;/DisplayText&gt;&lt;record&gt;&lt;urls&gt;&lt;related-urls&gt;&lt;url&gt;https://topol.hee.nhs.uk&lt;/url&gt;&lt;/related-urls&gt;&lt;/urls&gt;&lt;titles&gt;&lt;title&gt;Preparing the healthcare workforce to deliver&amp;#xA;the digital future&lt;/title&gt;&lt;/titles&gt;&lt;number&gt;10th July&lt;/number&gt;&lt;contributors&gt;&lt;authors&gt;&lt;author&gt;Health Education England&lt;/author&gt;&lt;/authors&gt;&lt;/contributors&gt;&lt;added-date format="utc"&gt;1633082032&lt;/added-date&gt;&lt;ref-type name="Web Page"&gt;12&lt;/ref-type&gt;&lt;dates&gt;&lt;year&gt;2019&lt;/year&gt;&lt;/dates&gt;&lt;rec-number&gt;293&lt;/rec-number&gt;&lt;publisher&gt;Health Education England&lt;/publisher&gt;&lt;last-updated-date format="utc"&gt;1633082852&lt;/last-updated-date&gt;&lt;volume&gt;2021&lt;/volume&gt;&lt;/record&gt;&lt;/Cite&gt;&lt;/EndNote&gt;</w:instrText>
      </w:r>
      <w:r w:rsidR="0032392F">
        <w:fldChar w:fldCharType="separate"/>
      </w:r>
      <w:r w:rsidR="0032392F">
        <w:t>[14]</w:t>
      </w:r>
      <w:r w:rsidR="0032392F">
        <w:fldChar w:fldCharType="end"/>
      </w:r>
    </w:p>
    <w:p w14:paraId="2FE1DECB" w14:textId="520B3F5F" w:rsidR="00D70641" w:rsidRPr="006279EB" w:rsidRDefault="00D70641" w:rsidP="00FE3A3C">
      <w:pPr>
        <w:pStyle w:val="ListParagraph"/>
      </w:pPr>
    </w:p>
    <w:p w14:paraId="072CCD05" w14:textId="76C38079" w:rsidR="00D70641" w:rsidRPr="006279EB" w:rsidRDefault="00D70641" w:rsidP="009948F5">
      <w:pPr>
        <w:pStyle w:val="ListParagraph"/>
        <w:numPr>
          <w:ilvl w:val="0"/>
          <w:numId w:val="24"/>
        </w:numPr>
      </w:pPr>
      <w:r w:rsidRPr="006279EB">
        <w:t xml:space="preserve">The Department of Health and Social </w:t>
      </w:r>
      <w:r w:rsidR="00FE3A3C">
        <w:t>C</w:t>
      </w:r>
      <w:r w:rsidRPr="006279EB">
        <w:t>are published a policy paper on the future of healthcare in October 2018 that highlighted that ‘Different people may need different services and some people will never use digital services themselves directly but will benefit from others using digital services and freeing resources to help them’. This paper highlighted the need to ensure accessibility to digital services for people with greatest health need</w:t>
      </w:r>
      <w:r w:rsidRPr="0032392F">
        <w:t>s.</w:t>
      </w:r>
      <w:r w:rsidR="0032392F" w:rsidRPr="0032392F">
        <w:fldChar w:fldCharType="begin"/>
      </w:r>
      <w:r w:rsidR="00FA5363">
        <w:instrText xml:space="preserve"> ADDIN EN.CITE &lt;EndNote&gt;&lt;Cite&gt;&lt;Author&gt;UK&lt;/Author&gt;&lt;Year&gt;2018&lt;/Year&gt;&lt;IDText&gt; Policy paper. The future&lt;/IDText&gt;&lt;DisplayText&gt;[7]&lt;/DisplayText&gt;&lt;record&gt;&lt;contributors&gt;&lt;tertiary-authors&gt;&lt;author&gt;UK Department of Health and Social care.&lt;/author&gt;&lt;/tertiary-authors&gt;&lt;/contributors&gt;&lt;titles&gt;&lt;title&gt; Policy paper. The future&amp;#xA;of healthcare: our vision for digital, data and technology in health and care.&lt;/title&gt;&lt;/titles&gt;&lt;contributors&gt;&lt;authors&gt;&lt;author&gt;UK Department of Health and Social care&lt;/author&gt;&lt;/authors&gt;&lt;/contributors&gt;&lt;added-date format="utc"&gt;1633082340&lt;/added-date&gt;&lt;ref-type name="Report"&gt;27&lt;/ref-type&gt;&lt;dates&gt;&lt;year&gt;2018&lt;/year&gt;&lt;/dates&gt;&lt;rec-number&gt;294&lt;/rec-number&gt;&lt;last-updated-date format="utc"&gt;1633082373&lt;/last-updated-date&gt;&lt;/record&gt;&lt;/Cite&gt;&lt;/EndNote&gt;</w:instrText>
      </w:r>
      <w:r w:rsidR="0032392F" w:rsidRPr="0032392F">
        <w:fldChar w:fldCharType="separate"/>
      </w:r>
      <w:r w:rsidR="00FA5363">
        <w:rPr>
          <w:noProof/>
        </w:rPr>
        <w:t>[7]</w:t>
      </w:r>
      <w:r w:rsidR="0032392F" w:rsidRPr="0032392F">
        <w:fldChar w:fldCharType="end"/>
      </w:r>
    </w:p>
    <w:p w14:paraId="174C93C9" w14:textId="77777777" w:rsidR="009948F5" w:rsidRDefault="009948F5" w:rsidP="009948F5">
      <w:pPr>
        <w:widowControl/>
        <w:autoSpaceDE/>
        <w:autoSpaceDN/>
        <w:adjustRightInd/>
        <w:spacing w:after="160"/>
        <w:rPr>
          <w:color w:val="auto"/>
        </w:rPr>
      </w:pPr>
    </w:p>
    <w:p w14:paraId="07F0CA87" w14:textId="576938D2" w:rsidR="009948F5" w:rsidRPr="009948F5" w:rsidRDefault="009948F5" w:rsidP="009948F5">
      <w:pPr>
        <w:widowControl/>
        <w:autoSpaceDE/>
        <w:autoSpaceDN/>
        <w:adjustRightInd/>
        <w:spacing w:after="160"/>
        <w:rPr>
          <w:color w:val="auto"/>
        </w:rPr>
      </w:pPr>
      <w:r w:rsidRPr="009948F5">
        <w:rPr>
          <w:color w:val="auto"/>
        </w:rPr>
        <w:lastRenderedPageBreak/>
        <w:t>During the pandemic, p</w:t>
      </w:r>
      <w:r w:rsidRPr="009948F5">
        <w:rPr>
          <w:iCs/>
          <w:color w:val="auto"/>
          <w:shd w:val="clear" w:color="auto" w:fill="FFFFFF"/>
        </w:rPr>
        <w:t xml:space="preserve">rotecting the NHS became top priority for the UK government. Redesign of services to free up inpatient and critical care capacity was a major part of the health service’s response to the pandemic. </w:t>
      </w:r>
      <w:r w:rsidRPr="009948F5">
        <w:rPr>
          <w:color w:val="auto"/>
          <w:shd w:val="clear" w:color="auto" w:fill="FFFFFF"/>
        </w:rPr>
        <w:t xml:space="preserve">This included discharging thousands to free up beds, postponing planned treatment, shifting appointments online where possible as well as redeployment of staff. </w:t>
      </w:r>
    </w:p>
    <w:p w14:paraId="7AB5C600" w14:textId="09F27E67" w:rsidR="009948F5" w:rsidRPr="009948F5" w:rsidRDefault="009948F5" w:rsidP="009948F5">
      <w:pPr>
        <w:widowControl/>
        <w:autoSpaceDE/>
        <w:autoSpaceDN/>
        <w:adjustRightInd/>
        <w:spacing w:after="160"/>
        <w:rPr>
          <w:color w:val="auto"/>
        </w:rPr>
      </w:pPr>
      <w:r>
        <w:t>O</w:t>
      </w:r>
      <w:r w:rsidR="00D70641" w:rsidRPr="006279EB">
        <w:t>ne of the responses</w:t>
      </w:r>
      <w:r>
        <w:t xml:space="preserve"> to the pandemic</w:t>
      </w:r>
      <w:r w:rsidR="00D70641" w:rsidRPr="006279EB">
        <w:t xml:space="preserve"> was to increase the uptake of digital services</w:t>
      </w:r>
      <w:r w:rsidR="0032392F">
        <w:t xml:space="preserve">. </w:t>
      </w:r>
      <w:r w:rsidRPr="009948F5">
        <w:rPr>
          <w:color w:val="auto"/>
          <w:shd w:val="clear" w:color="auto" w:fill="FFFFFF"/>
        </w:rPr>
        <w:t>NHS England released over 50 pieces of guidance to hospital specialists for the treatment of non-COVID-19 patients during the pandemic. How many of these related to inclusive digital healthcare?</w:t>
      </w:r>
    </w:p>
    <w:p w14:paraId="14B88042" w14:textId="45249439" w:rsidR="00D70641" w:rsidRPr="006279EB" w:rsidRDefault="00D70641" w:rsidP="009948F5">
      <w:r w:rsidRPr="006279EB">
        <w:t xml:space="preserve">In hospitals, GP practices and care settings, digital technologies have enabled the NHS, social care and public health authorities to continue serving the population during the </w:t>
      </w:r>
      <w:r w:rsidR="00B54CF8">
        <w:t>COVID-19</w:t>
      </w:r>
      <w:r w:rsidR="00B706E0">
        <w:t xml:space="preserve"> </w:t>
      </w:r>
      <w:r w:rsidRPr="006279EB">
        <w:t>pandemic.</w:t>
      </w:r>
      <w:r w:rsidR="0032392F">
        <w:fldChar w:fldCharType="begin"/>
      </w:r>
      <w:r w:rsidR="0032392F">
        <w:instrText xml:space="preserve"> ADDIN EN.CITE &lt;EndNote&gt;&lt;Cite&gt;&lt;Author&gt;Bakhai&lt;/Author&gt;&lt;Year&gt;2020&lt;/Year&gt;&lt;IDText&gt;Using&lt;/IDText&gt;&lt;DisplayText&gt;[15]&lt;/DisplayText&gt;&lt;record&gt;&lt;titles&gt;&lt;title&gt;Using&amp;#xA;Online Consultations In Primary Care&lt;/title&gt;&lt;/titles&gt;&lt;contributors&gt;&lt;authors&gt;&lt;author&gt;Bakhai, M&lt;/author&gt;&lt;author&gt;Croney, L&lt;/author&gt;&lt;author&gt;Waller, O&lt;/author&gt;&lt;author&gt;Henshall, N&lt;/author&gt;&lt;author&gt;Felstead, C&lt;/author&gt;&lt;/authors&gt;&lt;/contributors&gt;&lt;added-date format="utc"&gt;1633082751&lt;/added-date&gt;&lt;ref-type name="Generic"&gt;13&lt;/ref-type&gt;&lt;dates&gt;&lt;year&gt;2020&lt;/year&gt;&lt;/dates&gt;&lt;rec-number&gt;295&lt;/rec-number&gt;&lt;publisher&gt;NHS England&lt;/publisher&gt;&lt;last-updated-date format="utc"&gt;1633082777&lt;/last-updated-date&gt;&lt;/record&gt;&lt;/Cite&gt;&lt;/EndNote&gt;</w:instrText>
      </w:r>
      <w:r w:rsidR="0032392F">
        <w:fldChar w:fldCharType="separate"/>
      </w:r>
      <w:r w:rsidR="0032392F">
        <w:rPr>
          <w:noProof/>
        </w:rPr>
        <w:t>[15]</w:t>
      </w:r>
      <w:r w:rsidR="0032392F">
        <w:fldChar w:fldCharType="end"/>
      </w:r>
      <w:r w:rsidRPr="006279EB">
        <w:t xml:space="preserve"> From GP online and video consultations to NHS-approved apps - there has been a significant increase in the population’s use of digital health services. However, the initial guidelines from NHS England on increasing the digitalisation of healthcare services did not focus on the impact of digital exclusion and its correlation with poor health outcomes.</w:t>
      </w:r>
    </w:p>
    <w:p w14:paraId="51ED950B" w14:textId="47138182" w:rsidR="00D70641" w:rsidRPr="006279EB" w:rsidRDefault="00D70641" w:rsidP="009948F5">
      <w:r w:rsidRPr="006279EB">
        <w:t xml:space="preserve">Digital inclusion has been recognised as an important aspect in the recent NHS England </w:t>
      </w:r>
      <w:r w:rsidR="009948F5" w:rsidRPr="006279EB">
        <w:t>guidance</w:t>
      </w:r>
      <w:r w:rsidRPr="006279EB">
        <w:t xml:space="preserve"> on response and recovery from the pandemic. </w:t>
      </w:r>
      <w:r w:rsidR="009948F5">
        <w:t>In</w:t>
      </w:r>
      <w:r w:rsidRPr="006279EB">
        <w:t xml:space="preserve"> phase three of the health service’s response to the </w:t>
      </w:r>
      <w:r w:rsidR="00373121">
        <w:t>COVID</w:t>
      </w:r>
      <w:r w:rsidRPr="006279EB">
        <w:t>-19 pandemic, NHS leaders were asked to look at developing digitally enabled care pathways that “increases inclusion” as part of the next phase of the NHS C</w:t>
      </w:r>
      <w:r w:rsidR="00373121">
        <w:t>OVID</w:t>
      </w:r>
      <w:r w:rsidRPr="006279EB">
        <w:t xml:space="preserve"> recovery plan.</w:t>
      </w:r>
      <w:r w:rsidR="004F3477">
        <w:fldChar w:fldCharType="begin"/>
      </w:r>
      <w:r w:rsidR="004F3477">
        <w:instrText xml:space="preserve"> ADDIN EN.CITE &lt;EndNote&gt;&lt;Cite&gt;&lt;Author&gt;NHS&lt;/Author&gt;&lt;Year&gt;2020&lt;/Year&gt;&lt;IDText&gt;Implementing phase 3 of the NHS response to the&lt;/IDText&gt;&lt;DisplayText&gt;[16]&lt;/DisplayText&gt;&lt;record&gt;&lt;urls&gt;&lt;related-urls&gt;&lt;url&gt;https://www.england.nhs.uk/wp-content/uploads/2020/08/C0716_Implementing-phase-3-v1.1.pdf&lt;/url&gt;&lt;/related-urls&gt;&lt;/urls&gt;&lt;titles&gt;&lt;title&gt;Implementing phase 3 of the NHS response to the&amp;#xA;COVID-19 pandemic &amp;lt;p class=&amp;quot;MsoListParagraph&amp;quot; style=&amp;quot;text-indent:-18.0pt;line-height:115%;&amp;#xA;mso-list:l0 level1 lfo1&amp;quot;&amp;gt;&lt;/title&gt;&lt;/titles&gt;&lt;access-date&gt;June 2021&lt;/access-date&gt;&lt;contributors&gt;&lt;authors&gt;&lt;author&gt;NHS England&lt;/author&gt;&lt;/authors&gt;&lt;/contributors&gt;&lt;added-date format="utc"&gt;1633285593&lt;/added-date&gt;&lt;ref-type name="Generic"&gt;13&lt;/ref-type&gt;&lt;dates&gt;&lt;year&gt;2020&lt;/year&gt;&lt;/dates&gt;&lt;rec-number&gt;297&lt;/rec-number&gt;&lt;publisher&gt;NHS England&lt;/publisher&gt;&lt;last-updated-date format="utc"&gt;1633285671&lt;/last-updated-date&gt;&lt;/record&gt;&lt;/Cite&gt;&lt;/EndNote&gt;</w:instrText>
      </w:r>
      <w:r w:rsidR="004F3477">
        <w:fldChar w:fldCharType="separate"/>
      </w:r>
      <w:r w:rsidR="004F3477">
        <w:rPr>
          <w:noProof/>
        </w:rPr>
        <w:t>[16]</w:t>
      </w:r>
      <w:r w:rsidR="004F3477">
        <w:fldChar w:fldCharType="end"/>
      </w:r>
      <w:r w:rsidR="009B13B9">
        <w:t xml:space="preserve"> </w:t>
      </w:r>
      <w:r w:rsidRPr="006279EB">
        <w:t>NHS leaders were to review who is using new 111, primary, outpatient and mental health digitally enabled care pathways in a bid to improve inclusivity. The guidance stated that ‘“To monitor this, new care pathways should be tested for achieving a positive impact on health inequalities, starting with four: 111 First; total triage in general practice; digitally enabled mental health; and virtual outpatients”. This data was due to be reviewed in March 2021 with a plan to develop agreed actions to ensure all patients receive the same level of access and care regardless of their digital preferences.</w:t>
      </w:r>
    </w:p>
    <w:p w14:paraId="15294040" w14:textId="77CCED9D" w:rsidR="00D70641" w:rsidRPr="006279EB" w:rsidRDefault="00D70641" w:rsidP="009948F5">
      <w:r w:rsidRPr="006279EB">
        <w:t>The 2021/22 priorities and operational planning guidance</w:t>
      </w:r>
      <w:r w:rsidR="009B13B9">
        <w:rPr>
          <w:vertAlign w:val="superscript"/>
        </w:rPr>
        <w:t xml:space="preserve"> </w:t>
      </w:r>
      <w:r w:rsidRPr="006279EB">
        <w:t>from NHS England emphasised the need to take further steps to develop population health management approaches that address inequalities in access, experience and outcomes, working with local partners across health, social care, and beyond.</w:t>
      </w:r>
      <w:r w:rsidR="007D569D">
        <w:fldChar w:fldCharType="begin"/>
      </w:r>
      <w:r w:rsidR="007D569D">
        <w:instrText xml:space="preserve"> ADDIN EN.CITE &lt;EndNote&gt;&lt;Cite&gt;&lt;Author&gt;NHS&lt;/Author&gt;&lt;Year&gt;2021&lt;/Year&gt;&lt;IDText&gt;2021/22 priorities and operational planning guidance&lt;/IDText&gt;&lt;DisplayText&gt;[17]&lt;/DisplayText&gt;&lt;record&gt;&lt;urls&gt;&lt;related-urls&gt;&lt;url&gt;https://www.england.nhs.uk/wp-content/uploads/2021/03/B0468-nhs-operational-planning-and-contracting-guidance.pdf&lt;/url&gt;&lt;/related-urls&gt;&lt;/urls&gt;&lt;titles&gt;&lt;title&gt;2021/22 priorities and operational planning guidance&lt;/title&gt;&lt;/titles&gt;&lt;access-date&gt;June 2021&lt;/access-date&gt;&lt;contributors&gt;&lt;authors&gt;&lt;author&gt;NHS England&lt;/author&gt;&lt;/authors&gt;&lt;/contributors&gt;&lt;added-date format="utc"&gt;1633285699&lt;/added-date&gt;&lt;ref-type name="Generic"&gt;13&lt;/ref-type&gt;&lt;dates&gt;&lt;year&gt;2021&lt;/year&gt;&lt;/dates&gt;&lt;rec-number&gt;298&lt;/rec-number&gt;&lt;publisher&gt;NHS England&lt;/publisher&gt;&lt;last-updated-date format="utc"&gt;1633285744&lt;/last-updated-date&gt;&lt;/record&gt;&lt;/Cite&gt;&lt;/EndNote&gt;</w:instrText>
      </w:r>
      <w:r w:rsidR="007D569D">
        <w:fldChar w:fldCharType="separate"/>
      </w:r>
      <w:r w:rsidR="007D569D">
        <w:rPr>
          <w:noProof/>
        </w:rPr>
        <w:t>[17]</w:t>
      </w:r>
      <w:r w:rsidR="007D569D">
        <w:fldChar w:fldCharType="end"/>
      </w:r>
      <w:r w:rsidR="007D569D">
        <w:t xml:space="preserve"> </w:t>
      </w:r>
      <w:r w:rsidRPr="006279EB">
        <w:t>The</w:t>
      </w:r>
      <w:r w:rsidRPr="006279EB">
        <w:rPr>
          <w:rFonts w:cstheme="minorBidi"/>
        </w:rPr>
        <w:t xml:space="preserve"> Implementation guidance document includes mitigating </w:t>
      </w:r>
      <w:r w:rsidRPr="006279EB">
        <w:t>against digital exclusion as one of the five priorities.</w:t>
      </w:r>
      <w:r w:rsidR="007D569D">
        <w:fldChar w:fldCharType="begin"/>
      </w:r>
      <w:r w:rsidR="007D569D">
        <w:instrText xml:space="preserve"> ADDIN EN.CITE &lt;EndNote&gt;&lt;Cite&gt;&lt;Author&gt;NHS&lt;/Author&gt;&lt;Year&gt;2021&lt;/Year&gt;&lt;IDText&gt;2021/22&lt;/IDText&gt;&lt;DisplayText&gt;[18]&lt;/DisplayText&gt;&lt;record&gt;&lt;urls&gt;&lt;related-urls&gt;&lt;url&gt;https://www.england.nhs.uk/wp-content/uploads/2021/03/B0468-implementation-guidance-21-22-priorities-and-operational-planning-guidance.pdf&lt;/url&gt;&lt;/related-urls&gt;&lt;/urls&gt;&lt;titles&gt;&lt;title&gt;2021/22&amp;#xA;priorities and operational planning guidance: Implementation guidance.&lt;/title&gt;&lt;/titles&gt;&lt;access-date&gt;June 2021&lt;/access-date&gt;&lt;contributors&gt;&lt;authors&gt;&lt;author&gt;NHS England&lt;/author&gt;&lt;/authors&gt;&lt;/contributors&gt;&lt;added-date format="utc"&gt;1633285970&lt;/added-date&gt;&lt;ref-type name="Generic"&gt;13&lt;/ref-type&gt;&lt;dates&gt;&lt;year&gt;2021&lt;/year&gt;&lt;/dates&gt;&lt;rec-number&gt;299&lt;/rec-number&gt;&lt;publisher&gt;NHS England&lt;/publisher&gt;&lt;last-updated-date format="utc"&gt;1633286002&lt;/last-updated-date&gt;&lt;/record&gt;&lt;/Cite&gt;&lt;/EndNote&gt;</w:instrText>
      </w:r>
      <w:r w:rsidR="007D569D">
        <w:fldChar w:fldCharType="separate"/>
      </w:r>
      <w:r w:rsidR="007D569D">
        <w:rPr>
          <w:noProof/>
        </w:rPr>
        <w:t>[18]</w:t>
      </w:r>
      <w:r w:rsidR="007D569D">
        <w:fldChar w:fldCharType="end"/>
      </w:r>
      <w:r w:rsidR="007D569D">
        <w:t xml:space="preserve"> </w:t>
      </w:r>
      <w:r w:rsidRPr="006279EB">
        <w:t xml:space="preserve">Systems have been asked to ensure that face-to-face care is offered to patients who cannot use remote </w:t>
      </w:r>
      <w:r w:rsidR="009948F5" w:rsidRPr="006279EB">
        <w:t xml:space="preserve">services; </w:t>
      </w:r>
      <w:r w:rsidR="00373121">
        <w:t xml:space="preserve">that </w:t>
      </w:r>
      <w:r w:rsidR="009948F5" w:rsidRPr="006279EB">
        <w:t>more</w:t>
      </w:r>
      <w:r w:rsidRPr="006279EB">
        <w:t xml:space="preserve"> complete data collection is carried out, to identify who is accessing face-to-face, telephone, or video consultations, broken down by relevant protected characteristic and health inclusion groups; and impact of digital consultation channels on patient access is regularly assessed.</w:t>
      </w:r>
    </w:p>
    <w:p w14:paraId="0F2E727B" w14:textId="1A9F4A7E" w:rsidR="00D70641" w:rsidRPr="006279EB" w:rsidRDefault="00D70641" w:rsidP="009948F5">
      <w:r w:rsidRPr="006279EB">
        <w:lastRenderedPageBreak/>
        <w:t>NHS England guidance on supporting pregnant women using maternity services during the coronavirus pandemic emphasised that information should be readily accessible to women, support people and their families, digitally and in accessible formats.</w:t>
      </w:r>
      <w:r w:rsidR="007D569D">
        <w:fldChar w:fldCharType="begin"/>
      </w:r>
      <w:r w:rsidR="007D569D">
        <w:instrText xml:space="preserve"> ADDIN EN.CITE &lt;EndNote&gt;&lt;Cite&gt;&lt;Author&gt;NHS&lt;/Author&gt;&lt;Year&gt;2021&lt;/Year&gt;&lt;IDText&gt;Supporting&lt;/IDText&gt;&lt;DisplayText&gt;[19]&lt;/DisplayText&gt;&lt;record&gt;&lt;titles&gt;&lt;title&gt;Supporting&amp;#xA;pregnant women using maternity services during the coronavirus pandemic:&amp;#xA;actions for NHS providers Version 2, 15 April 2021&lt;/title&gt;&lt;/titles&gt;&lt;contributors&gt;&lt;authors&gt;&lt;author&gt;NHS England&lt;/author&gt;&lt;/authors&gt;&lt;/contributors&gt;&lt;added-date format="utc"&gt;1633286027&lt;/added-date&gt;&lt;ref-type name="Generic"&gt;13&lt;/ref-type&gt;&lt;dates&gt;&lt;year&gt;2021&lt;/year&gt;&lt;/dates&gt;&lt;rec-number&gt;300&lt;/rec-number&gt;&lt;publisher&gt;NHS England&lt;/publisher&gt;&lt;last-updated-date format="utc"&gt;1633286072&lt;/last-updated-date&gt;&lt;/record&gt;&lt;/Cite&gt;&lt;/EndNote&gt;</w:instrText>
      </w:r>
      <w:r w:rsidR="007D569D">
        <w:fldChar w:fldCharType="separate"/>
      </w:r>
      <w:r w:rsidR="007D569D">
        <w:rPr>
          <w:noProof/>
        </w:rPr>
        <w:t>[19]</w:t>
      </w:r>
      <w:r w:rsidR="007D569D">
        <w:fldChar w:fldCharType="end"/>
      </w:r>
      <w:r w:rsidR="009B13B9">
        <w:t xml:space="preserve"> </w:t>
      </w:r>
      <w:r w:rsidRPr="006279EB">
        <w:t>Operational guidance on clinical prioritisation of waiting lists for endoscopy and diagnostic procedures</w:t>
      </w:r>
      <w:r w:rsidR="009B13B9">
        <w:rPr>
          <w:vertAlign w:val="superscript"/>
        </w:rPr>
        <w:t xml:space="preserve"> </w:t>
      </w:r>
      <w:r w:rsidRPr="006279EB">
        <w:t>highlighted the importance of preventing worsening of health inequalities and avoiding digital inequalities.</w:t>
      </w:r>
      <w:r w:rsidR="007D569D">
        <w:fldChar w:fldCharType="begin"/>
      </w:r>
      <w:r w:rsidR="007D569D">
        <w:instrText xml:space="preserve"> ADDIN EN.CITE &lt;EndNote&gt;&lt;Cite&gt;&lt;Author&gt;NHS&lt;/Author&gt;&lt;Year&gt;2021&lt;/Year&gt;&lt;IDText&gt;Clinical&lt;/IDText&gt;&lt;DisplayText&gt;[20]&lt;/DisplayText&gt;&lt;record&gt;&lt;titles&gt;&lt;title&gt;Clinical&amp;#xA;prioritisation of waiting lists for endoscopy and diagnostic procedures&amp;#xA;Framework and operational guidance Version 2, June 2021&lt;/title&gt;&lt;/titles&gt;&lt;contributors&gt;&lt;authors&gt;&lt;author&gt;NHS England&lt;/author&gt;&lt;/authors&gt;&lt;/contributors&gt;&lt;added-date format="utc"&gt;1633286095&lt;/added-date&gt;&lt;ref-type name="Generic"&gt;13&lt;/ref-type&gt;&lt;dates&gt;&lt;year&gt;2021&lt;/year&gt;&lt;/dates&gt;&lt;rec-number&gt;301&lt;/rec-number&gt;&lt;publisher&gt;NHS England&lt;/publisher&gt;&lt;last-updated-date format="utc"&gt;1633286122&lt;/last-updated-date&gt;&lt;/record&gt;&lt;/Cite&gt;&lt;/EndNote&gt;</w:instrText>
      </w:r>
      <w:r w:rsidR="007D569D">
        <w:fldChar w:fldCharType="separate"/>
      </w:r>
      <w:r w:rsidR="007D569D">
        <w:rPr>
          <w:noProof/>
        </w:rPr>
        <w:t>[20]</w:t>
      </w:r>
      <w:r w:rsidR="007D569D">
        <w:fldChar w:fldCharType="end"/>
      </w:r>
    </w:p>
    <w:p w14:paraId="03EA820C" w14:textId="16BE0DCA" w:rsidR="00D70641" w:rsidRPr="006279EB" w:rsidRDefault="00D70641" w:rsidP="009948F5">
      <w:r w:rsidRPr="006279EB">
        <w:t>The above highlight the renewed focus on digital inclusion in healthcare systems.  In this increasingly digital world, it is concerning that some will be left behind due to digital exclusion. NHS England’s focus on ensuring mitigation for digital exclusion is an important step in working towards equity and equitability for all with regards to digital inclusion.</w:t>
      </w:r>
      <w:r>
        <w:t xml:space="preserve"> The next step will be to collate data on the current impact of digital inequalities in </w:t>
      </w:r>
      <w:r w:rsidR="00373121">
        <w:t xml:space="preserve">the </w:t>
      </w:r>
      <w:r>
        <w:t>NHS and address them both at the local and national level.</w:t>
      </w:r>
    </w:p>
    <w:p w14:paraId="5BCEB507" w14:textId="77777777" w:rsidR="00623F8A" w:rsidRPr="00DA7AB5" w:rsidRDefault="00623F8A" w:rsidP="00D053C8">
      <w:pPr>
        <w:rPr>
          <w:color w:val="auto"/>
          <w:shd w:val="clear" w:color="auto" w:fill="FFFFFF"/>
        </w:rPr>
      </w:pPr>
    </w:p>
    <w:p w14:paraId="4746052C" w14:textId="71A51ECE" w:rsidR="00C3363D" w:rsidRDefault="00B65681" w:rsidP="00373121">
      <w:pPr>
        <w:pStyle w:val="Heading2"/>
        <w:numPr>
          <w:ilvl w:val="0"/>
          <w:numId w:val="21"/>
        </w:numPr>
        <w:rPr>
          <w:rFonts w:asciiTheme="minorHAnsi" w:hAnsiTheme="minorHAnsi" w:cstheme="minorHAnsi"/>
          <w:b/>
          <w:bCs/>
          <w:color w:val="auto"/>
          <w:sz w:val="22"/>
          <w:szCs w:val="22"/>
        </w:rPr>
      </w:pPr>
      <w:bookmarkStart w:id="1" w:name="_Toc13667127"/>
      <w:r>
        <w:rPr>
          <w:rFonts w:asciiTheme="minorHAnsi" w:hAnsiTheme="minorHAnsi" w:cstheme="minorHAnsi"/>
          <w:b/>
          <w:bCs/>
          <w:color w:val="auto"/>
          <w:sz w:val="22"/>
          <w:szCs w:val="22"/>
        </w:rPr>
        <w:t>What evidence is there to support that</w:t>
      </w:r>
      <w:r w:rsidR="00867B39" w:rsidRPr="00756BA5">
        <w:rPr>
          <w:rFonts w:asciiTheme="minorHAnsi" w:hAnsiTheme="minorHAnsi" w:cstheme="minorHAnsi"/>
          <w:b/>
          <w:bCs/>
          <w:color w:val="auto"/>
          <w:sz w:val="22"/>
          <w:szCs w:val="22"/>
        </w:rPr>
        <w:t xml:space="preserve"> changes to healthcare delivery during the pandemic exacerbated the </w:t>
      </w:r>
      <w:r w:rsidR="009C6878">
        <w:rPr>
          <w:rFonts w:asciiTheme="minorHAnsi" w:hAnsiTheme="minorHAnsi" w:cstheme="minorHAnsi"/>
          <w:b/>
          <w:bCs/>
          <w:color w:val="auto"/>
          <w:sz w:val="22"/>
          <w:szCs w:val="22"/>
        </w:rPr>
        <w:t xml:space="preserve">digital </w:t>
      </w:r>
      <w:r w:rsidR="00867B39" w:rsidRPr="00756BA5">
        <w:rPr>
          <w:rFonts w:asciiTheme="minorHAnsi" w:hAnsiTheme="minorHAnsi" w:cstheme="minorHAnsi"/>
          <w:b/>
          <w:bCs/>
          <w:color w:val="auto"/>
          <w:sz w:val="22"/>
          <w:szCs w:val="22"/>
        </w:rPr>
        <w:t>divide?</w:t>
      </w:r>
      <w:bookmarkEnd w:id="1"/>
    </w:p>
    <w:p w14:paraId="0081CFA0" w14:textId="77777777" w:rsidR="00373121" w:rsidRDefault="00373121" w:rsidP="00373121">
      <w:pPr>
        <w:spacing w:after="0" w:line="240" w:lineRule="auto"/>
      </w:pPr>
    </w:p>
    <w:p w14:paraId="34F7B366" w14:textId="29174E9A" w:rsidR="00DF3485" w:rsidRPr="007B60DE" w:rsidRDefault="00DF3485" w:rsidP="00DF3485">
      <w:pPr>
        <w:rPr>
          <w:color w:val="auto"/>
          <w:shd w:val="clear" w:color="auto" w:fill="FFFFFF"/>
        </w:rPr>
      </w:pPr>
      <w:r w:rsidRPr="007B60DE">
        <w:rPr>
          <w:color w:val="auto"/>
          <w:shd w:val="clear" w:color="auto" w:fill="FFFFFF"/>
        </w:rPr>
        <w:t>ONS data estimates that 10.0% of the adult UK population could be described as internet non-users. 55% of internet non-users are in the 75+ category, 24% 65-74 and 12% 55-64. In addition, 56% of non-users are disabled and 22.5% of non-users are described as ‘economically inactive’. In East and West Midlands specifically, 71</w:t>
      </w:r>
      <w:r w:rsidR="00CE68E0">
        <w:rPr>
          <w:color w:val="auto"/>
          <w:shd w:val="clear" w:color="auto" w:fill="FFFFFF"/>
        </w:rPr>
        <w:t>%</w:t>
      </w:r>
      <w:r w:rsidRPr="007B60DE">
        <w:rPr>
          <w:color w:val="auto"/>
          <w:shd w:val="clear" w:color="auto" w:fill="FFFFFF"/>
        </w:rPr>
        <w:t xml:space="preserve"> and 76% of the population possessed 5 basic digital skills. 9% of </w:t>
      </w:r>
      <w:r w:rsidR="00844D28">
        <w:rPr>
          <w:color w:val="auto"/>
          <w:shd w:val="clear" w:color="auto" w:fill="FFFFFF"/>
        </w:rPr>
        <w:t xml:space="preserve">the </w:t>
      </w:r>
      <w:r w:rsidRPr="007B60DE">
        <w:rPr>
          <w:color w:val="auto"/>
          <w:shd w:val="clear" w:color="auto" w:fill="FFFFFF"/>
        </w:rPr>
        <w:t>population in this area possessed 0/5 basic digital skills. The ONS data would imply that the older population would be adversely affected by digital healthcare delivery. However, a report by health foundation shows that older patients (aged 75+) accessed more GP appointments during the pandemic whilst younger patients had fewer appointments.</w:t>
      </w:r>
    </w:p>
    <w:p w14:paraId="23135381" w14:textId="3ABF40F5" w:rsidR="00DF3485" w:rsidRPr="007B60DE" w:rsidRDefault="00DF3485" w:rsidP="00DF3485">
      <w:pPr>
        <w:rPr>
          <w:color w:val="auto"/>
        </w:rPr>
      </w:pPr>
      <w:r w:rsidRPr="007B60DE">
        <w:rPr>
          <w:color w:val="auto"/>
          <w:shd w:val="clear" w:color="auto" w:fill="FFFFFF"/>
        </w:rPr>
        <w:t xml:space="preserve">With the country placed in lockdown digital spaces rapidly became the main way to access information and services. However, as described above access to networks or connected devices and possession of the skills required to navigate computerized spaces optimally are not equal. </w:t>
      </w:r>
      <w:r w:rsidRPr="007B60DE">
        <w:rPr>
          <w:color w:val="auto"/>
        </w:rPr>
        <w:t>In addition, during lockdown the public were told to ‘stay at home, protect the NHS and save lives’ - for fear of NHS services being overwhelmed. It is reported that four in ten people were too concerned about being a burden on the NHS to seek help from their GP. Data from the English Longitudinal Study of Ageing show that care-seeking behaviour changed radically in the early stages of the pandemic, with a significant proportion of patients with care needs not actively seeking help. 14% of those requiring GP care, and more than a third of those reporting that they needed community care services, did not contact these services</w:t>
      </w:r>
      <w:r w:rsidR="00110098">
        <w:rPr>
          <w:color w:val="auto"/>
        </w:rPr>
        <w:t>.</w:t>
      </w:r>
      <w:r w:rsidRPr="007B60DE">
        <w:rPr>
          <w:color w:val="auto"/>
        </w:rPr>
        <w:fldChar w:fldCharType="begin"/>
      </w:r>
      <w:r w:rsidR="00FA5363">
        <w:rPr>
          <w:color w:val="auto"/>
        </w:rPr>
        <w:instrText xml:space="preserve"> ADDIN EN.CITE &lt;EndNote&gt;&lt;Cite&gt;&lt;Author&gt;Carol&lt;/Author&gt;&lt;Year&gt;2020&lt;/Year&gt;&lt;IDText&gt;COVID-19 and disruptions to the&lt;/IDText&gt;&lt;DisplayText&gt;[21]&lt;/DisplayText&gt;&lt;record&gt;&lt;contributors&gt;&lt;tertiary-authors&gt;&lt;author&gt;The Institute for Fiscal Studies&lt;/author&gt;&lt;/tertiary-authors&gt;&lt;/contributors&gt;&lt;titles&gt;&lt;title&gt;COVID-19 and disruptions to the&amp;#xA;health and social care of older people&amp;#xA;in England&lt;/title&gt;&lt;/titles&gt;&lt;contributors&gt;&lt;authors&gt;&lt;author&gt;Carol Propper&lt;/author&gt;&lt;author&gt;Isabel Stockton&lt;/author&gt;&lt;author&gt;George Stoye&lt;/author&gt;&lt;/authors&gt;&lt;/contributors&gt;&lt;added-date format="utc"&gt;1619170794&lt;/added-date&gt;&lt;ref-type name="Report"&gt;27&lt;/ref-type&gt;&lt;dates&gt;&lt;year&gt;2020&lt;/year&gt;&lt;/dates&gt;&lt;rec-number&gt;31&lt;/rec-number&gt;&lt;last-updated-date format="utc"&gt;1619171478&lt;/last-updated-date&gt;&lt;/record&gt;&lt;/Cite&gt;&lt;/EndNote&gt;</w:instrText>
      </w:r>
      <w:r w:rsidRPr="007B60DE">
        <w:rPr>
          <w:color w:val="auto"/>
        </w:rPr>
        <w:fldChar w:fldCharType="separate"/>
      </w:r>
      <w:r w:rsidR="00FA5363">
        <w:rPr>
          <w:noProof/>
          <w:color w:val="auto"/>
        </w:rPr>
        <w:t>[21]</w:t>
      </w:r>
      <w:r w:rsidRPr="007B60DE">
        <w:rPr>
          <w:color w:val="auto"/>
        </w:rPr>
        <w:fldChar w:fldCharType="end"/>
      </w:r>
    </w:p>
    <w:p w14:paraId="37774884" w14:textId="5867CF06" w:rsidR="005D234D" w:rsidRPr="00DA7AB5" w:rsidRDefault="00CC7AFE" w:rsidP="00623F8A">
      <w:pPr>
        <w:rPr>
          <w:iCs/>
          <w:color w:val="auto"/>
          <w:shd w:val="clear" w:color="auto" w:fill="FFFFFF"/>
        </w:rPr>
      </w:pPr>
      <w:r w:rsidRPr="00DA7AB5">
        <w:rPr>
          <w:color w:val="auto"/>
          <w:shd w:val="clear" w:color="auto" w:fill="FFFFFF"/>
        </w:rPr>
        <w:lastRenderedPageBreak/>
        <w:t>Attendances at A &amp; E dramatically fell for both minor injuries and illness.</w:t>
      </w:r>
      <w:r w:rsidRPr="00DA7AB5">
        <w:rPr>
          <w:iCs/>
          <w:color w:val="auto"/>
          <w:shd w:val="clear" w:color="auto" w:fill="FFFFFF"/>
        </w:rPr>
        <w:t xml:space="preserve"> </w:t>
      </w:r>
      <w:r w:rsidR="00623F8A" w:rsidRPr="00DA7AB5">
        <w:rPr>
          <w:iCs/>
          <w:color w:val="auto"/>
          <w:shd w:val="clear" w:color="auto" w:fill="FFFFFF"/>
        </w:rPr>
        <w:t>All non-urgent elective operations were postponed for at least 3 months</w:t>
      </w:r>
      <w:r w:rsidR="00392167" w:rsidRPr="00DA7AB5">
        <w:rPr>
          <w:iCs/>
          <w:color w:val="auto"/>
          <w:shd w:val="clear" w:color="auto" w:fill="FFFFFF"/>
        </w:rPr>
        <w:t xml:space="preserve"> and </w:t>
      </w:r>
      <w:r w:rsidR="00392167" w:rsidRPr="00DA7AB5">
        <w:rPr>
          <w:color w:val="auto"/>
        </w:rPr>
        <w:t xml:space="preserve">according to the Royal College of Surgeons of </w:t>
      </w:r>
      <w:r w:rsidR="00392167" w:rsidRPr="00DE1959">
        <w:rPr>
          <w:color w:val="auto"/>
        </w:rPr>
        <w:t>England, referrals for NHS treatment fell</w:t>
      </w:r>
      <w:r w:rsidR="00623F8A" w:rsidRPr="00DE1959">
        <w:rPr>
          <w:iCs/>
          <w:color w:val="auto"/>
          <w:shd w:val="clear" w:color="auto" w:fill="FFFFFF"/>
        </w:rPr>
        <w:t xml:space="preserve"> </w:t>
      </w:r>
      <w:r w:rsidR="00392167" w:rsidRPr="00DE1959">
        <w:rPr>
          <w:iCs/>
          <w:color w:val="auto"/>
          <w:shd w:val="clear" w:color="auto" w:fill="FFFFFF"/>
        </w:rPr>
        <w:t>significantly.</w:t>
      </w:r>
      <w:r w:rsidR="00AF2226" w:rsidRPr="00DE1959">
        <w:rPr>
          <w:iCs/>
          <w:color w:val="auto"/>
          <w:shd w:val="clear" w:color="auto" w:fill="FFFFFF"/>
        </w:rPr>
        <w:t xml:space="preserve"> </w:t>
      </w:r>
      <w:bookmarkStart w:id="2" w:name="_Hlk102548950"/>
      <w:r w:rsidR="00231C45" w:rsidRPr="00DE1959">
        <w:rPr>
          <w:iCs/>
          <w:color w:val="auto"/>
          <w:shd w:val="clear" w:color="auto" w:fill="FFFFFF"/>
        </w:rPr>
        <w:t>As a result, t</w:t>
      </w:r>
      <w:r w:rsidR="005D234D" w:rsidRPr="00DE1959">
        <w:rPr>
          <w:color w:val="auto"/>
          <w:shd w:val="clear" w:color="auto" w:fill="FFFFFF"/>
        </w:rPr>
        <w:t>he</w:t>
      </w:r>
      <w:r w:rsidR="00231C45" w:rsidRPr="00DE1959">
        <w:rPr>
          <w:color w:val="auto"/>
          <w:shd w:val="clear" w:color="auto" w:fill="FFFFFF"/>
        </w:rPr>
        <w:t>re were 4.</w:t>
      </w:r>
      <w:r w:rsidR="00FE12B7" w:rsidRPr="00DE1959">
        <w:rPr>
          <w:color w:val="auto"/>
          <w:shd w:val="clear" w:color="auto" w:fill="FFFFFF"/>
        </w:rPr>
        <w:t>2</w:t>
      </w:r>
      <w:r w:rsidR="00231C45" w:rsidRPr="00DE1959">
        <w:rPr>
          <w:color w:val="auto"/>
          <w:shd w:val="clear" w:color="auto" w:fill="FFFFFF"/>
        </w:rPr>
        <w:t xml:space="preserve"> million patients </w:t>
      </w:r>
      <w:r w:rsidR="005D234D" w:rsidRPr="00DE1959">
        <w:rPr>
          <w:color w:val="auto"/>
          <w:shd w:val="clear" w:color="auto" w:fill="FFFFFF"/>
        </w:rPr>
        <w:t>waiting for consultant-led elective care</w:t>
      </w:r>
      <w:r w:rsidR="00231C45" w:rsidRPr="00DE1959">
        <w:rPr>
          <w:color w:val="auto"/>
          <w:shd w:val="clear" w:color="auto" w:fill="FFFFFF"/>
        </w:rPr>
        <w:t xml:space="preserve"> in August 2020</w:t>
      </w:r>
      <w:r w:rsidR="005D234D" w:rsidRPr="00DE1959">
        <w:rPr>
          <w:color w:val="auto"/>
          <w:shd w:val="clear" w:color="auto" w:fill="FFFFFF"/>
        </w:rPr>
        <w:t xml:space="preserve"> </w:t>
      </w:r>
      <w:r w:rsidR="00231C45" w:rsidRPr="00DE1959">
        <w:rPr>
          <w:color w:val="auto"/>
          <w:shd w:val="clear" w:color="auto" w:fill="FFFFFF"/>
        </w:rPr>
        <w:t>compared to 4.4 million at</w:t>
      </w:r>
      <w:r w:rsidR="005D234D" w:rsidRPr="00DE1959">
        <w:rPr>
          <w:color w:val="auto"/>
          <w:shd w:val="clear" w:color="auto" w:fill="FFFFFF"/>
        </w:rPr>
        <w:t xml:space="preserve"> the end of 2019</w:t>
      </w:r>
      <w:r w:rsidR="00231C45" w:rsidRPr="00DE1959">
        <w:rPr>
          <w:color w:val="auto"/>
          <w:shd w:val="clear" w:color="auto" w:fill="FFFFFF"/>
        </w:rPr>
        <w:t>.</w:t>
      </w:r>
      <w:r w:rsidR="00231C45" w:rsidRPr="00DA7AB5">
        <w:rPr>
          <w:color w:val="auto"/>
          <w:shd w:val="clear" w:color="auto" w:fill="FFFFFF"/>
        </w:rPr>
        <w:t xml:space="preserve"> </w:t>
      </w:r>
      <w:bookmarkEnd w:id="2"/>
      <w:r w:rsidR="00231C45" w:rsidRPr="00DA7AB5">
        <w:rPr>
          <w:color w:val="auto"/>
          <w:shd w:val="clear" w:color="auto" w:fill="FFFFFF"/>
        </w:rPr>
        <w:t>The reduction is due to fewer new pathways being started and is evidence of the decrease in referrals that have resulted from the pandemic</w:t>
      </w:r>
      <w:r w:rsidR="00110098">
        <w:rPr>
          <w:color w:val="auto"/>
          <w:shd w:val="clear" w:color="auto" w:fill="FFFFFF"/>
        </w:rPr>
        <w:t>.</w:t>
      </w:r>
      <w:r w:rsidR="00497959" w:rsidRPr="00DA7AB5">
        <w:rPr>
          <w:color w:val="auto"/>
          <w:shd w:val="clear" w:color="auto" w:fill="FFFFFF"/>
        </w:rPr>
        <w:fldChar w:fldCharType="begin"/>
      </w:r>
      <w:r w:rsidR="00FA5363">
        <w:rPr>
          <w:color w:val="auto"/>
          <w:shd w:val="clear" w:color="auto" w:fill="FFFFFF"/>
        </w:rPr>
        <w:instrText xml:space="preserve"> ADDIN EN.CITE &lt;EndNote&gt;&lt;Cite&gt;&lt;Author&gt;NHS&lt;/Author&gt;&lt;Year&gt;2020-21&lt;/Year&gt;&lt;IDText&gt;Consultant-led referral to treatment waiting times&lt;/IDText&gt;&lt;DisplayText&gt;[22]&lt;/DisplayText&gt;&lt;record&gt;&lt;titles&gt;&lt;title&gt;Consultant-led referral to treatment waiting times&lt;/title&gt;&lt;secondary-title&gt;https://www.england.nhs.uk/statistics/statistical-work-areas/rtt-waiting-times/&lt;/secondary-title&gt;&lt;/titles&gt;&lt;number&gt;24th January&lt;/number&gt;&lt;contributors&gt;&lt;authors&gt;&lt;author&gt;NHS Digital&lt;/author&gt;&lt;/authors&gt;&lt;/contributors&gt;&lt;added-date format="utc"&gt;1619125339&lt;/added-date&gt;&lt;ref-type name="Web Page"&gt;12&lt;/ref-type&gt;&lt;dates&gt;&lt;year&gt;2020-21&lt;/year&gt;&lt;/dates&gt;&lt;rec-number&gt;29&lt;/rec-number&gt;&lt;last-updated-date format="utc"&gt;1619125504&lt;/last-updated-date&gt;&lt;volume&gt;2021&lt;/volume&gt;&lt;/record&gt;&lt;/Cite&gt;&lt;/EndNote&gt;</w:instrText>
      </w:r>
      <w:r w:rsidR="00497959" w:rsidRPr="00DA7AB5">
        <w:rPr>
          <w:color w:val="auto"/>
          <w:shd w:val="clear" w:color="auto" w:fill="FFFFFF"/>
        </w:rPr>
        <w:fldChar w:fldCharType="separate"/>
      </w:r>
      <w:r w:rsidR="00FA5363">
        <w:rPr>
          <w:noProof/>
          <w:color w:val="auto"/>
          <w:shd w:val="clear" w:color="auto" w:fill="FFFFFF"/>
        </w:rPr>
        <w:t>[22]</w:t>
      </w:r>
      <w:r w:rsidR="00497959" w:rsidRPr="00DA7AB5">
        <w:rPr>
          <w:color w:val="auto"/>
          <w:shd w:val="clear" w:color="auto" w:fill="FFFFFF"/>
        </w:rPr>
        <w:fldChar w:fldCharType="end"/>
      </w:r>
    </w:p>
    <w:p w14:paraId="7625C2D2" w14:textId="076F8183" w:rsidR="00000C4A" w:rsidRPr="007B60DE" w:rsidRDefault="00000C4A" w:rsidP="00D053C8">
      <w:pPr>
        <w:rPr>
          <w:iCs/>
          <w:color w:val="auto"/>
          <w:shd w:val="clear" w:color="auto" w:fill="FFFFFF"/>
        </w:rPr>
      </w:pPr>
      <w:r w:rsidRPr="00DA7AB5">
        <w:rPr>
          <w:iCs/>
          <w:color w:val="auto"/>
          <w:shd w:val="clear" w:color="auto" w:fill="FFFFFF"/>
        </w:rPr>
        <w:t xml:space="preserve">A WHO survey in August 2020 (105 responses from 159 countries) showed that </w:t>
      </w:r>
      <w:r w:rsidR="00CC7AFE" w:rsidRPr="00DA7AB5">
        <w:rPr>
          <w:iCs/>
          <w:color w:val="auto"/>
          <w:shd w:val="clear" w:color="auto" w:fill="FFFFFF"/>
        </w:rPr>
        <w:t xml:space="preserve">the UK was not </w:t>
      </w:r>
      <w:r w:rsidR="007247D7" w:rsidRPr="00DA7AB5">
        <w:rPr>
          <w:iCs/>
          <w:color w:val="auto"/>
          <w:shd w:val="clear" w:color="auto" w:fill="FFFFFF"/>
        </w:rPr>
        <w:t xml:space="preserve">alone and reported that </w:t>
      </w:r>
      <w:r w:rsidRPr="00DA7AB5">
        <w:rPr>
          <w:iCs/>
          <w:color w:val="auto"/>
          <w:shd w:val="clear" w:color="auto" w:fill="FFFFFF"/>
        </w:rPr>
        <w:t xml:space="preserve">supply, </w:t>
      </w:r>
      <w:r w:rsidR="007247D7" w:rsidRPr="00DA7AB5">
        <w:rPr>
          <w:iCs/>
          <w:color w:val="auto"/>
          <w:shd w:val="clear" w:color="auto" w:fill="FFFFFF"/>
        </w:rPr>
        <w:t>demand,</w:t>
      </w:r>
      <w:r w:rsidRPr="00DA7AB5">
        <w:rPr>
          <w:iCs/>
          <w:color w:val="auto"/>
          <w:shd w:val="clear" w:color="auto" w:fill="FFFFFF"/>
        </w:rPr>
        <w:t xml:space="preserve"> and accessibility issues </w:t>
      </w:r>
      <w:r w:rsidR="007247D7" w:rsidRPr="00DA7AB5">
        <w:rPr>
          <w:iCs/>
          <w:color w:val="auto"/>
          <w:shd w:val="clear" w:color="auto" w:fill="FFFFFF"/>
        </w:rPr>
        <w:t xml:space="preserve">have </w:t>
      </w:r>
      <w:r w:rsidRPr="00DA7AB5">
        <w:rPr>
          <w:iCs/>
          <w:color w:val="auto"/>
          <w:shd w:val="clear" w:color="auto" w:fill="FFFFFF"/>
        </w:rPr>
        <w:t>affected services</w:t>
      </w:r>
      <w:r w:rsidR="007247D7" w:rsidRPr="00DA7AB5">
        <w:rPr>
          <w:iCs/>
          <w:color w:val="auto"/>
          <w:shd w:val="clear" w:color="auto" w:fill="FFFFFF"/>
        </w:rPr>
        <w:t xml:space="preserve"> across the globe</w:t>
      </w:r>
      <w:r w:rsidRPr="00DA7AB5">
        <w:rPr>
          <w:iCs/>
          <w:color w:val="auto"/>
          <w:shd w:val="clear" w:color="auto" w:fill="FFFFFF"/>
        </w:rPr>
        <w:t xml:space="preserve">. Reasons that affected supply of services issues were cancellation of elective services, staff redeployment, unavailability of services such as screening services, GP appointments, </w:t>
      </w:r>
      <w:r w:rsidR="00844D28" w:rsidRPr="00DA7AB5">
        <w:rPr>
          <w:iCs/>
          <w:color w:val="auto"/>
          <w:shd w:val="clear" w:color="auto" w:fill="FFFFFF"/>
        </w:rPr>
        <w:t>O</w:t>
      </w:r>
      <w:r w:rsidR="00844D28">
        <w:rPr>
          <w:iCs/>
          <w:color w:val="auto"/>
          <w:shd w:val="clear" w:color="auto" w:fill="FFFFFF"/>
        </w:rPr>
        <w:t>ut</w:t>
      </w:r>
      <w:r w:rsidR="00844D28" w:rsidRPr="00DA7AB5">
        <w:rPr>
          <w:iCs/>
          <w:color w:val="auto"/>
          <w:shd w:val="clear" w:color="auto" w:fill="FFFFFF"/>
        </w:rPr>
        <w:t>p</w:t>
      </w:r>
      <w:r w:rsidR="00844D28">
        <w:rPr>
          <w:iCs/>
          <w:color w:val="auto"/>
          <w:shd w:val="clear" w:color="auto" w:fill="FFFFFF"/>
        </w:rPr>
        <w:t>atient (OP)</w:t>
      </w:r>
      <w:r w:rsidRPr="00DA7AB5">
        <w:rPr>
          <w:iCs/>
          <w:color w:val="auto"/>
          <w:shd w:val="clear" w:color="auto" w:fill="FFFFFF"/>
        </w:rPr>
        <w:t xml:space="preserve"> clinics, </w:t>
      </w:r>
      <w:r w:rsidRPr="007B60DE">
        <w:rPr>
          <w:iCs/>
          <w:color w:val="auto"/>
          <w:shd w:val="clear" w:color="auto" w:fill="FFFFFF"/>
        </w:rPr>
        <w:t>closures of health facilities, supply chain issues and changes in treatment policies</w:t>
      </w:r>
      <w:r w:rsidR="00110098">
        <w:rPr>
          <w:iCs/>
          <w:color w:val="auto"/>
          <w:shd w:val="clear" w:color="auto" w:fill="FFFFFF"/>
        </w:rPr>
        <w:t>.</w:t>
      </w:r>
      <w:r w:rsidR="00632341" w:rsidRPr="007B60DE">
        <w:rPr>
          <w:iCs/>
          <w:color w:val="auto"/>
          <w:shd w:val="clear" w:color="auto" w:fill="FFFFFF"/>
        </w:rPr>
        <w:fldChar w:fldCharType="begin"/>
      </w:r>
      <w:r w:rsidR="00FA5363">
        <w:rPr>
          <w:iCs/>
          <w:color w:val="auto"/>
          <w:shd w:val="clear" w:color="auto" w:fill="FFFFFF"/>
        </w:rPr>
        <w:instrText xml:space="preserve"> ADDIN EN.CITE &lt;EndNote&gt;&lt;Cite&gt;&lt;Author&gt;WHO&lt;/Author&gt;&lt;Year&gt;2020&lt;/Year&gt;&lt;IDText&gt;Pulse survey on continuity of essential health services during the COVID-19 pandemic. Interim report&lt;/IDText&gt;&lt;DisplayText&gt;[23]&lt;/DisplayText&gt;&lt;record&gt;&lt;contributors&gt;&lt;tertiary-authors&gt;&lt;author&gt;World Health O rganisation&lt;/author&gt;&lt;/tertiary-authors&gt;&lt;/contributors&gt;&lt;titles&gt;&lt;title&gt;Pulse survey on continuity of essential health services during the COVID-19 pandemic. Interim report&lt;/title&gt;&lt;/titles&gt;&lt;contributors&gt;&lt;authors&gt;&lt;author&gt;WHO&lt;/author&gt;&lt;/authors&gt;&lt;/contributors&gt;&lt;added-date format="utc"&gt;1619170165&lt;/added-date&gt;&lt;ref-type name="Report"&gt;27&lt;/ref-type&gt;&lt;dates&gt;&lt;year&gt;2020&lt;/year&gt;&lt;/dates&gt;&lt;rec-number&gt;30&lt;/rec-number&gt;&lt;last-updated-date format="utc"&gt;1619170225&lt;/last-updated-date&gt;&lt;/record&gt;&lt;/Cite&gt;&lt;/EndNote&gt;</w:instrText>
      </w:r>
      <w:r w:rsidR="00632341" w:rsidRPr="007B60DE">
        <w:rPr>
          <w:iCs/>
          <w:color w:val="auto"/>
          <w:shd w:val="clear" w:color="auto" w:fill="FFFFFF"/>
        </w:rPr>
        <w:fldChar w:fldCharType="separate"/>
      </w:r>
      <w:r w:rsidR="00FA5363">
        <w:rPr>
          <w:iCs/>
          <w:noProof/>
          <w:color w:val="auto"/>
          <w:shd w:val="clear" w:color="auto" w:fill="FFFFFF"/>
        </w:rPr>
        <w:t>[23]</w:t>
      </w:r>
      <w:r w:rsidR="00632341" w:rsidRPr="007B60DE">
        <w:rPr>
          <w:iCs/>
          <w:color w:val="auto"/>
          <w:shd w:val="clear" w:color="auto" w:fill="FFFFFF"/>
        </w:rPr>
        <w:fldChar w:fldCharType="end"/>
      </w:r>
      <w:r w:rsidR="009C6878">
        <w:rPr>
          <w:iCs/>
          <w:color w:val="auto"/>
          <w:shd w:val="clear" w:color="auto" w:fill="FFFFFF"/>
        </w:rPr>
        <w:t xml:space="preserve"> </w:t>
      </w:r>
      <w:r w:rsidR="009C6878" w:rsidRPr="00A0348D">
        <w:rPr>
          <w:rFonts w:ascii="Calibri" w:hAnsi="Calibri" w:cs="Calibri"/>
          <w:color w:val="auto"/>
        </w:rPr>
        <w:t xml:space="preserve">Societal measures such as a strict lockdown to combat the pandemic have affected people’s socioeconomic situation as well as their ability to reach the health services they need. This includes financial costs of travel and loss of income. </w:t>
      </w:r>
      <w:r w:rsidR="009C6878" w:rsidRPr="00A0348D">
        <w:rPr>
          <w:color w:val="auto"/>
          <w:shd w:val="clear" w:color="auto" w:fill="FCFCFC"/>
        </w:rPr>
        <w:t xml:space="preserve">This disproportionately impacts those on low incomes, which ultimately affects women more because of the higher numbers of women in low-income jobs, especially single mothers supporting children. The WHO survey stated that </w:t>
      </w:r>
      <w:r w:rsidR="009C6878" w:rsidRPr="00A0348D">
        <w:rPr>
          <w:iCs/>
          <w:color w:val="auto"/>
          <w:shd w:val="clear" w:color="auto" w:fill="FFFFFF"/>
        </w:rPr>
        <w:t xml:space="preserve">76% of countries reported </w:t>
      </w:r>
      <w:r w:rsidR="00844D28">
        <w:rPr>
          <w:iCs/>
          <w:color w:val="auto"/>
          <w:shd w:val="clear" w:color="auto" w:fill="FFFFFF"/>
        </w:rPr>
        <w:t xml:space="preserve">a </w:t>
      </w:r>
      <w:r w:rsidR="009C6878" w:rsidRPr="00A0348D">
        <w:rPr>
          <w:iCs/>
          <w:color w:val="auto"/>
          <w:shd w:val="clear" w:color="auto" w:fill="FFFFFF"/>
        </w:rPr>
        <w:t>reduction in OP attendance citing reasons such as financial issues and lockdowns hindering access</w:t>
      </w:r>
      <w:r w:rsidR="00110098">
        <w:rPr>
          <w:iCs/>
          <w:color w:val="auto"/>
          <w:shd w:val="clear" w:color="auto" w:fill="FFFFFF"/>
        </w:rPr>
        <w:t>.</w:t>
      </w:r>
      <w:r w:rsidR="009C6878" w:rsidRPr="00A0348D">
        <w:rPr>
          <w:iCs/>
          <w:color w:val="auto"/>
          <w:shd w:val="clear" w:color="auto" w:fill="FFFFFF"/>
        </w:rPr>
        <w:fldChar w:fldCharType="begin"/>
      </w:r>
      <w:r w:rsidR="00FA5363">
        <w:rPr>
          <w:iCs/>
          <w:color w:val="auto"/>
          <w:shd w:val="clear" w:color="auto" w:fill="FFFFFF"/>
        </w:rPr>
        <w:instrText xml:space="preserve"> ADDIN EN.CITE &lt;EndNote&gt;&lt;Cite&gt;&lt;Author&gt;WHO&lt;/Author&gt;&lt;Year&gt;2020&lt;/Year&gt;&lt;IDText&gt;Pulse survey on continuity of essential health services during the COVID-19 pandemic. Interim report&lt;/IDText&gt;&lt;DisplayText&gt;[23]&lt;/DisplayText&gt;&lt;record&gt;&lt;contributors&gt;&lt;tertiary-authors&gt;&lt;author&gt;World Health O rganisation&lt;/author&gt;&lt;/tertiary-authors&gt;&lt;/contributors&gt;&lt;titles&gt;&lt;title&gt;Pulse survey on continuity of essential health services during the COVID-19 pandemic. Interim report&lt;/title&gt;&lt;/titles&gt;&lt;contributors&gt;&lt;authors&gt;&lt;author&gt;WHO&lt;/author&gt;&lt;/authors&gt;&lt;/contributors&gt;&lt;added-date format="utc"&gt;1619170165&lt;/added-date&gt;&lt;ref-type name="Report"&gt;27&lt;/ref-type&gt;&lt;dates&gt;&lt;year&gt;2020&lt;/year&gt;&lt;/dates&gt;&lt;rec-number&gt;30&lt;/rec-number&gt;&lt;last-updated-date format="utc"&gt;1619170225&lt;/last-updated-date&gt;&lt;/record&gt;&lt;/Cite&gt;&lt;/EndNote&gt;</w:instrText>
      </w:r>
      <w:r w:rsidR="009C6878" w:rsidRPr="00A0348D">
        <w:rPr>
          <w:iCs/>
          <w:color w:val="auto"/>
          <w:shd w:val="clear" w:color="auto" w:fill="FFFFFF"/>
        </w:rPr>
        <w:fldChar w:fldCharType="separate"/>
      </w:r>
      <w:r w:rsidR="00FA5363">
        <w:rPr>
          <w:iCs/>
          <w:noProof/>
          <w:color w:val="auto"/>
          <w:shd w:val="clear" w:color="auto" w:fill="FFFFFF"/>
        </w:rPr>
        <w:t>[23]</w:t>
      </w:r>
      <w:r w:rsidR="009C6878" w:rsidRPr="00A0348D">
        <w:rPr>
          <w:iCs/>
          <w:color w:val="auto"/>
          <w:shd w:val="clear" w:color="auto" w:fill="FFFFFF"/>
        </w:rPr>
        <w:fldChar w:fldCharType="end"/>
      </w:r>
    </w:p>
    <w:p w14:paraId="21AFEE73" w14:textId="0850957B" w:rsidR="007D6959" w:rsidRDefault="007D6959" w:rsidP="00D053C8">
      <w:pPr>
        <w:rPr>
          <w:color w:val="auto"/>
        </w:rPr>
      </w:pPr>
      <w:r w:rsidRPr="007B60DE">
        <w:rPr>
          <w:color w:val="auto"/>
        </w:rPr>
        <w:t xml:space="preserve">Data from the English Longitudinal Study of Ageing show that many of the over-50 population were unable to access health care services during the early stages of the COVID-19 pandemic in England. A sixth of older people report having hospital treatment cancelled, with an additional one in ten unable to visit or speak to their GP. </w:t>
      </w:r>
      <w:r w:rsidR="00DF1D9C" w:rsidRPr="007B60DE">
        <w:rPr>
          <w:color w:val="auto"/>
        </w:rPr>
        <w:t xml:space="preserve">More worryingly </w:t>
      </w:r>
      <w:r w:rsidR="00DF3485">
        <w:rPr>
          <w:color w:val="auto"/>
        </w:rPr>
        <w:t xml:space="preserve">the data </w:t>
      </w:r>
      <w:r w:rsidR="00DF1D9C" w:rsidRPr="007B60DE">
        <w:rPr>
          <w:color w:val="auto"/>
        </w:rPr>
        <w:t xml:space="preserve">shows that there are clear differences in the proportion of individuals whose care was cancelled by the deprivation level of the local area in which they live. Splitting individuals into five groups based on their 2015 index of multiple deprivation (IMD) score, those living in the most deprived fifth of areas were more likely to have hospital treatment cancelled (22.0%) than those living in the least deprived fifth of areas (15.8%). These differences can only be partially explained by differences in need for care in the most deprived areas. </w:t>
      </w:r>
      <w:r w:rsidRPr="007B60DE">
        <w:rPr>
          <w:color w:val="auto"/>
        </w:rPr>
        <w:t>Access to community health and social care has also been severely disrupted</w:t>
      </w:r>
      <w:r w:rsidR="00110098">
        <w:rPr>
          <w:color w:val="auto"/>
        </w:rPr>
        <w:t>.</w:t>
      </w:r>
      <w:r w:rsidRPr="007B60DE">
        <w:rPr>
          <w:color w:val="auto"/>
        </w:rPr>
        <w:fldChar w:fldCharType="begin"/>
      </w:r>
      <w:r w:rsidR="00FA5363">
        <w:rPr>
          <w:color w:val="auto"/>
        </w:rPr>
        <w:instrText xml:space="preserve"> ADDIN EN.CITE &lt;EndNote&gt;&lt;Cite&gt;&lt;Author&gt;Carol&lt;/Author&gt;&lt;Year&gt;2020&lt;/Year&gt;&lt;IDText&gt;COVID-19 and disruptions to the&lt;/IDText&gt;&lt;DisplayText&gt;[21]&lt;/DisplayText&gt;&lt;record&gt;&lt;contributors&gt;&lt;tertiary-authors&gt;&lt;author&gt;The Institute for Fiscal Studies&lt;/author&gt;&lt;/tertiary-authors&gt;&lt;/contributors&gt;&lt;titles&gt;&lt;title&gt;COVID-19 and disruptions to the&amp;#xA;health and social care of older people&amp;#xA;in England&lt;/title&gt;&lt;/titles&gt;&lt;contributors&gt;&lt;authors&gt;&lt;author&gt;Carol Propper&lt;/author&gt;&lt;author&gt;Isabel Stockton&lt;/author&gt;&lt;author&gt;George Stoye&lt;/author&gt;&lt;/authors&gt;&lt;/contributors&gt;&lt;added-date format="utc"&gt;1619170794&lt;/added-date&gt;&lt;ref-type name="Report"&gt;27&lt;/ref-type&gt;&lt;dates&gt;&lt;year&gt;2020&lt;/year&gt;&lt;/dates&gt;&lt;rec-number&gt;31&lt;/rec-number&gt;&lt;last-updated-date format="utc"&gt;1619171478&lt;/last-updated-date&gt;&lt;/record&gt;&lt;/Cite&gt;&lt;/EndNote&gt;</w:instrText>
      </w:r>
      <w:r w:rsidRPr="007B60DE">
        <w:rPr>
          <w:color w:val="auto"/>
        </w:rPr>
        <w:fldChar w:fldCharType="separate"/>
      </w:r>
      <w:r w:rsidR="00FA5363">
        <w:rPr>
          <w:noProof/>
          <w:color w:val="auto"/>
        </w:rPr>
        <w:t>[21]</w:t>
      </w:r>
      <w:r w:rsidRPr="007B60DE">
        <w:rPr>
          <w:color w:val="auto"/>
        </w:rPr>
        <w:fldChar w:fldCharType="end"/>
      </w:r>
      <w:r w:rsidRPr="007B60DE">
        <w:rPr>
          <w:color w:val="auto"/>
        </w:rPr>
        <w:t xml:space="preserve"> </w:t>
      </w:r>
      <w:r w:rsidR="00DF1D9C" w:rsidRPr="007B60DE">
        <w:rPr>
          <w:color w:val="auto"/>
        </w:rPr>
        <w:t>Furthermore,</w:t>
      </w:r>
      <w:r w:rsidRPr="007B60DE">
        <w:rPr>
          <w:color w:val="auto"/>
        </w:rPr>
        <w:t xml:space="preserve"> there was evidence of unequal access to services with 37% of those living in the least deprived areas </w:t>
      </w:r>
      <w:r w:rsidR="00B54CF8">
        <w:rPr>
          <w:color w:val="auto"/>
        </w:rPr>
        <w:t xml:space="preserve">were not able to access services despite </w:t>
      </w:r>
      <w:r w:rsidRPr="007B60DE">
        <w:rPr>
          <w:color w:val="auto"/>
        </w:rPr>
        <w:t>attempting to do so, increasing to 46% among those living in the most deprived areas.</w:t>
      </w:r>
      <w:r w:rsidR="00DF3485">
        <w:rPr>
          <w:color w:val="auto"/>
        </w:rPr>
        <w:t xml:space="preserve"> </w:t>
      </w:r>
      <w:r w:rsidR="009C6878">
        <w:rPr>
          <w:color w:val="auto"/>
        </w:rPr>
        <w:t xml:space="preserve">It is not clear whether this difference </w:t>
      </w:r>
      <w:r w:rsidR="0082770C">
        <w:rPr>
          <w:color w:val="auto"/>
        </w:rPr>
        <w:t xml:space="preserve">is </w:t>
      </w:r>
      <w:r w:rsidR="009C6878">
        <w:rPr>
          <w:color w:val="auto"/>
        </w:rPr>
        <w:t>due to</w:t>
      </w:r>
      <w:r w:rsidR="00DF3485">
        <w:rPr>
          <w:color w:val="auto"/>
        </w:rPr>
        <w:t xml:space="preserve"> or exac</w:t>
      </w:r>
      <w:r w:rsidR="009C6878">
        <w:rPr>
          <w:color w:val="auto"/>
        </w:rPr>
        <w:t>erbated by digital inequalities.</w:t>
      </w:r>
    </w:p>
    <w:p w14:paraId="755B6480" w14:textId="66B56B90" w:rsidR="00D47C01" w:rsidRPr="00844D28" w:rsidRDefault="009948F5" w:rsidP="00D053C8">
      <w:pPr>
        <w:rPr>
          <w:color w:val="auto"/>
          <w:shd w:val="clear" w:color="auto" w:fill="FFFFFF"/>
        </w:rPr>
      </w:pPr>
      <w:r>
        <w:rPr>
          <w:color w:val="auto"/>
          <w:shd w:val="clear" w:color="auto" w:fill="FFFFFF"/>
        </w:rPr>
        <w:t>In conclusion d</w:t>
      </w:r>
      <w:r w:rsidRPr="007B60DE">
        <w:rPr>
          <w:color w:val="auto"/>
          <w:shd w:val="clear" w:color="auto" w:fill="FFFFFF"/>
        </w:rPr>
        <w:t xml:space="preserve">igital inequalities </w:t>
      </w:r>
      <w:r>
        <w:rPr>
          <w:color w:val="auto"/>
          <w:shd w:val="clear" w:color="auto" w:fill="FFFFFF"/>
        </w:rPr>
        <w:t>already existed</w:t>
      </w:r>
      <w:r w:rsidRPr="007B60DE">
        <w:rPr>
          <w:color w:val="auto"/>
          <w:shd w:val="clear" w:color="auto" w:fill="FFFFFF"/>
        </w:rPr>
        <w:t xml:space="preserve">, yet the COVID-19 crisis </w:t>
      </w:r>
      <w:r>
        <w:rPr>
          <w:color w:val="auto"/>
          <w:shd w:val="clear" w:color="auto" w:fill="FFFFFF"/>
        </w:rPr>
        <w:t>has exacerbated</w:t>
      </w:r>
      <w:r w:rsidRPr="007B60DE">
        <w:rPr>
          <w:color w:val="auto"/>
          <w:shd w:val="clear" w:color="auto" w:fill="FFFFFF"/>
        </w:rPr>
        <w:t xml:space="preserve"> them dramatically to the point that digital inequalities have been proposed as a social determinant of health</w:t>
      </w:r>
      <w:r>
        <w:rPr>
          <w:color w:val="auto"/>
          <w:shd w:val="clear" w:color="auto" w:fill="FFFFFF"/>
        </w:rPr>
        <w:t>.</w:t>
      </w:r>
      <w:r w:rsidRPr="007B60DE">
        <w:rPr>
          <w:color w:val="auto"/>
          <w:shd w:val="clear" w:color="auto" w:fill="FFFFFF"/>
        </w:rPr>
        <w:fldChar w:fldCharType="begin"/>
      </w:r>
      <w:r w:rsidR="00FA5363">
        <w:rPr>
          <w:color w:val="auto"/>
          <w:shd w:val="clear" w:color="auto" w:fill="FFFFFF"/>
        </w:rPr>
        <w:instrText xml:space="preserve"> ADDIN EN.CITE &lt;EndNote&gt;&lt;Cite&gt;&lt;Author&gt;Beaunoyer&lt;/Author&gt;&lt;Year&gt;2020&lt;/Year&gt;&lt;IDText&gt;COVID-19 and digital inequalities: Reciprocal impacts and mitigation strategies&lt;/IDText&gt;&lt;DisplayText&gt;[24]&lt;/DisplayText&gt;&lt;record&gt;&lt;dates&gt;&lt;pub-dates&gt;&lt;date&gt;Oct&lt;/date&gt;&lt;/pub-dates&gt;&lt;year&gt;2020&lt;/year&gt;&lt;/dates&gt;&lt;keywords&gt;&lt;keyword&gt;COVID-19&lt;/keyword&gt;&lt;keyword&gt;Coronavirus&lt;/keyword&gt;&lt;keyword&gt;Digital inequalities&lt;/keyword&gt;&lt;keyword&gt;Pandemic&lt;/keyword&gt;&lt;keyword&gt;Vulnerable population&lt;/keyword&gt;&lt;/keywords&gt;&lt;urls&gt;&lt;related-urls&gt;&lt;url&gt;https://www.ncbi.nlm.nih.gov/pubmed/32398890&lt;/url&gt;&lt;/related-urls&gt;&lt;/urls&gt;&lt;isbn&gt;0747-5632&lt;/isbn&gt;&lt;custom2&gt;PMC7213963&lt;/custom2&gt;&lt;titles&gt;&lt;title&gt;COVID-19 and digital inequalities: Reciprocal impacts and mitigation strategies&lt;/title&gt;&lt;secondary-title&gt;Comput Human Behav&lt;/secondary-title&gt;&lt;/titles&gt;&lt;pages&gt;106424&lt;/pages&gt;&lt;contributors&gt;&lt;authors&gt;&lt;author&gt;Beaunoyer, E.&lt;/author&gt;&lt;author&gt;Dupéré, S.&lt;/author&gt;&lt;author&gt;Guitton, M. J.&lt;/author&gt;&lt;/authors&gt;&lt;/contributors&gt;&lt;edition&gt;2020/05/11&lt;/edition&gt;&lt;language&gt;eng&lt;/language&gt;&lt;added-date format="utc"&gt;1619088215&lt;/added-date&gt;&lt;ref-type name="Journal Article"&gt;17&lt;/ref-type&gt;&lt;rec-number&gt;26&lt;/rec-number&gt;&lt;last-updated-date format="utc"&gt;1619088215&lt;/last-updated-date&gt;&lt;accession-num&gt;32398890&lt;/accession-num&gt;&lt;electronic-resource-num&gt;10.1016/j.chb.2020.106424&lt;/electronic-resource-num&gt;&lt;volume&gt;111&lt;/volume&gt;&lt;/record&gt;&lt;/Cite&gt;&lt;/EndNote&gt;</w:instrText>
      </w:r>
      <w:r w:rsidRPr="007B60DE">
        <w:rPr>
          <w:color w:val="auto"/>
          <w:shd w:val="clear" w:color="auto" w:fill="FFFFFF"/>
        </w:rPr>
        <w:fldChar w:fldCharType="separate"/>
      </w:r>
      <w:r w:rsidR="00FA5363">
        <w:rPr>
          <w:noProof/>
          <w:color w:val="auto"/>
          <w:shd w:val="clear" w:color="auto" w:fill="FFFFFF"/>
        </w:rPr>
        <w:t>[24]</w:t>
      </w:r>
      <w:r w:rsidRPr="007B60DE">
        <w:rPr>
          <w:color w:val="auto"/>
          <w:shd w:val="clear" w:color="auto" w:fill="FFFFFF"/>
        </w:rPr>
        <w:fldChar w:fldCharType="end"/>
      </w:r>
    </w:p>
    <w:p w14:paraId="4E2B8194" w14:textId="77777777" w:rsidR="00CD6A55" w:rsidRDefault="00756BA5" w:rsidP="00756BA5">
      <w:pPr>
        <w:pStyle w:val="ListParagraph"/>
        <w:widowControl/>
        <w:numPr>
          <w:ilvl w:val="0"/>
          <w:numId w:val="21"/>
        </w:numPr>
        <w:autoSpaceDE/>
        <w:autoSpaceDN/>
        <w:adjustRightInd/>
        <w:spacing w:after="160"/>
        <w:rPr>
          <w:b/>
          <w:color w:val="auto"/>
          <w:shd w:val="clear" w:color="auto" w:fill="FFFFFF"/>
        </w:rPr>
      </w:pPr>
      <w:r w:rsidRPr="00756BA5">
        <w:rPr>
          <w:b/>
          <w:color w:val="auto"/>
          <w:shd w:val="clear" w:color="auto" w:fill="FFFFFF"/>
        </w:rPr>
        <w:lastRenderedPageBreak/>
        <w:t>What guidance was issued to minimise risk of digital inequality during the pandemic?</w:t>
      </w:r>
    </w:p>
    <w:p w14:paraId="7616E700" w14:textId="0648A3B6" w:rsidR="00756BA5" w:rsidRDefault="00756BA5" w:rsidP="00844D28">
      <w:pPr>
        <w:pStyle w:val="ListParagraph"/>
        <w:widowControl/>
        <w:autoSpaceDE/>
        <w:autoSpaceDN/>
        <w:adjustRightInd/>
        <w:spacing w:after="0" w:line="240" w:lineRule="auto"/>
        <w:rPr>
          <w:color w:val="auto"/>
          <w:shd w:val="clear" w:color="auto" w:fill="FFFFFF"/>
        </w:rPr>
      </w:pPr>
    </w:p>
    <w:p w14:paraId="67A8DBD7" w14:textId="77777777" w:rsidR="001233D4" w:rsidRDefault="001233D4" w:rsidP="001233D4">
      <w:pPr>
        <w:rPr>
          <w:shd w:val="clear" w:color="auto" w:fill="FFFFFF"/>
        </w:rPr>
      </w:pPr>
      <w:r>
        <w:t xml:space="preserve">As discussed, our review of the literature suggests </w:t>
      </w:r>
      <w:r>
        <w:rPr>
          <w:shd w:val="clear" w:color="auto" w:fill="FFFFFF"/>
        </w:rPr>
        <w:t>there is sufficient evidence to conclude that digital exclusion should be considered across sectors as a social determinant of health, with the potential to exacerbate health inequalities if progress does not consider the structural, economic, social, and behavioural factors contributing to digital exclusion.</w:t>
      </w:r>
    </w:p>
    <w:p w14:paraId="5406B639" w14:textId="77777777" w:rsidR="001233D4" w:rsidRDefault="001233D4" w:rsidP="001233D4">
      <w:pPr>
        <w:rPr>
          <w:shd w:val="clear" w:color="auto" w:fill="FFFFFF"/>
        </w:rPr>
      </w:pPr>
      <w:r>
        <w:rPr>
          <w:shd w:val="clear" w:color="auto" w:fill="FFFFFF"/>
        </w:rPr>
        <w:t>Possession of digital devices and access to fixed and mobile internet connections is a gateway to essential health information and care and many other key services including education, food delivery, employment, and social support, all of which indirectly impact health. Underlying inequalities in contact with digital technology and the internet if left unresolved, have the potential to exacerbate health and social inequalities in a digital era.</w:t>
      </w:r>
    </w:p>
    <w:p w14:paraId="208990DC" w14:textId="54B4095A" w:rsidR="001233D4" w:rsidRDefault="001233D4" w:rsidP="001233D4">
      <w:pPr>
        <w:rPr>
          <w:shd w:val="clear" w:color="auto" w:fill="FFFFFF"/>
        </w:rPr>
      </w:pPr>
      <w:r>
        <w:rPr>
          <w:shd w:val="clear" w:color="auto" w:fill="FFFFFF"/>
        </w:rPr>
        <w:t>Davies et al (2020) reviewed studies which had looked at how countries could look to mitigate the impact of digital health inequality. They found evidence that some countries had attempted to make access to the internet a human right, however they argued that whilst unilateral policies can draw attention to an issue they cannot account for and manage the underlying complexities which lead to digital exclusion. They acknowledge to achieve this would take a multidisciplinary and multisectoral response.</w:t>
      </w:r>
      <w:r w:rsidR="003A3EA1">
        <w:rPr>
          <w:shd w:val="clear" w:color="auto" w:fill="FFFFFF"/>
        </w:rPr>
        <w:t xml:space="preserve"> </w:t>
      </w:r>
    </w:p>
    <w:p w14:paraId="58870DD4" w14:textId="042BD4E3" w:rsidR="001233D4" w:rsidRDefault="001233D4" w:rsidP="001233D4">
      <w:pPr>
        <w:rPr>
          <w:shd w:val="clear" w:color="auto" w:fill="FFFFFF"/>
        </w:rPr>
      </w:pPr>
      <w:r w:rsidRPr="009B13B9">
        <w:rPr>
          <w:shd w:val="clear" w:color="auto" w:fill="FFFFFF"/>
        </w:rPr>
        <w:t>As the UK emerged from the first lockdown in 2020 various organisations published their recommendations to learn from the rapid digital transformation that had occurred as a result of the pandemic and to advise how to mitigate against further widening the digital divide. The Good Things Foundation issued three key steps to fix the digital divide: the need to address the digital infrastructure, data poverty, and to develop an inclusive digital strategy</w:t>
      </w:r>
      <w:r w:rsidR="009B13B9" w:rsidRPr="009B13B9">
        <w:rPr>
          <w:shd w:val="clear" w:color="auto" w:fill="FFFFFF"/>
        </w:rPr>
        <w:t>.</w:t>
      </w:r>
      <w:r w:rsidR="0071685A">
        <w:rPr>
          <w:shd w:val="clear" w:color="auto" w:fill="FFFFFF"/>
        </w:rPr>
        <w:t xml:space="preserve"> </w:t>
      </w:r>
      <w:r w:rsidRPr="009B13B9">
        <w:rPr>
          <w:shd w:val="clear" w:color="auto" w:fill="FFFFFF"/>
        </w:rPr>
        <w:t>The Carnegie UK Trust produced twelve key recommendations recognising that our current comprehension of the impact of digital exclusion is limited due to lack of historic quality data. They use their recommendations to promote the need to learn from the pandemic and for policymakers to take ownership of working towards digital inclusion and equality.</w:t>
      </w:r>
      <w:r w:rsidR="0013257E">
        <w:rPr>
          <w:shd w:val="clear" w:color="auto" w:fill="FFFFFF"/>
        </w:rPr>
        <w:fldChar w:fldCharType="begin"/>
      </w:r>
      <w:r w:rsidR="0013257E">
        <w:rPr>
          <w:shd w:val="clear" w:color="auto" w:fill="FFFFFF"/>
        </w:rPr>
        <w:instrText xml:space="preserve"> ADDIN EN.CITE &lt;EndNote&gt;&lt;Cite&gt;&lt;Year&gt;2020&lt;/Year&gt;&lt;IDText&gt;Learning from lockdown. 12 Steps to Elimiate Digital Exclusion&lt;/IDText&gt;&lt;DisplayText&gt;[25]&lt;/DisplayText&gt;&lt;record&gt;&lt;titles&gt;&lt;title&gt;Learning from lockdown. 12 Steps to Elimiate Digital Exclusion&lt;/title&gt;&lt;/titles&gt;&lt;added-date format="utc"&gt;1629150316&lt;/added-date&gt;&lt;pub-location&gt;London&lt;/pub-location&gt;&lt;ref-type name="Report"&gt;27&lt;/ref-type&gt;&lt;dates&gt;&lt;year&gt;2020&lt;/year&gt;&lt;/dates&gt;&lt;rec-number&gt;228&lt;/rec-number&gt;&lt;publisher&gt;The Carnegie UK Trust&lt;/publisher&gt;&lt;last-updated-date format="utc"&gt;1629150414&lt;/last-updated-date&gt;&lt;/record&gt;&lt;/Cite&gt;&lt;/EndNote&gt;</w:instrText>
      </w:r>
      <w:r w:rsidR="0013257E">
        <w:rPr>
          <w:shd w:val="clear" w:color="auto" w:fill="FFFFFF"/>
        </w:rPr>
        <w:fldChar w:fldCharType="separate"/>
      </w:r>
      <w:r w:rsidR="0013257E">
        <w:rPr>
          <w:noProof/>
          <w:shd w:val="clear" w:color="auto" w:fill="FFFFFF"/>
        </w:rPr>
        <w:t>[25]</w:t>
      </w:r>
      <w:r w:rsidR="0013257E">
        <w:rPr>
          <w:shd w:val="clear" w:color="auto" w:fill="FFFFFF"/>
        </w:rPr>
        <w:fldChar w:fldCharType="end"/>
      </w:r>
      <w:r w:rsidRPr="009B13B9">
        <w:rPr>
          <w:shd w:val="clear" w:color="auto" w:fill="FFFFFF"/>
        </w:rPr>
        <w:t xml:space="preserve"> </w:t>
      </w:r>
    </w:p>
    <w:p w14:paraId="502A69E9" w14:textId="357C191E" w:rsidR="001233D4" w:rsidRDefault="001233D4" w:rsidP="001233D4">
      <w:pPr>
        <w:rPr>
          <w:shd w:val="clear" w:color="auto" w:fill="FFFFFF"/>
        </w:rPr>
      </w:pPr>
      <w:r>
        <w:rPr>
          <w:shd w:val="clear" w:color="auto" w:fill="FFFFFF"/>
        </w:rPr>
        <w:t>With an international focus, particularly on low-income countries, the Human Rights, Big Data and Technology Project has postulated five urgent principles for leaving nobody behind through technology in the COVID-19 response</w:t>
      </w:r>
      <w:r w:rsidR="0071685A">
        <w:rPr>
          <w:shd w:val="clear" w:color="auto" w:fill="FFFFFF"/>
        </w:rPr>
        <w:t>:</w:t>
      </w:r>
    </w:p>
    <w:p w14:paraId="062DFF11" w14:textId="77777777" w:rsidR="001233D4" w:rsidRDefault="001233D4" w:rsidP="001233D4">
      <w:pPr>
        <w:pStyle w:val="ListParagraph"/>
        <w:numPr>
          <w:ilvl w:val="0"/>
          <w:numId w:val="22"/>
        </w:numPr>
        <w:rPr>
          <w:color w:val="auto"/>
          <w:shd w:val="clear" w:color="auto" w:fill="FFFFFF"/>
        </w:rPr>
      </w:pPr>
      <w:r>
        <w:rPr>
          <w:shd w:val="clear" w:color="auto" w:fill="FFFFFF"/>
        </w:rPr>
        <w:t>guaranteeing internet access as a human right and a public good</w:t>
      </w:r>
    </w:p>
    <w:p w14:paraId="2D9EE679" w14:textId="77777777" w:rsidR="001233D4" w:rsidRDefault="001233D4" w:rsidP="001233D4">
      <w:pPr>
        <w:pStyle w:val="ListParagraph"/>
        <w:numPr>
          <w:ilvl w:val="0"/>
          <w:numId w:val="22"/>
        </w:numPr>
        <w:rPr>
          <w:color w:val="auto"/>
          <w:shd w:val="clear" w:color="auto" w:fill="FFFFFF"/>
        </w:rPr>
      </w:pPr>
      <w:r>
        <w:rPr>
          <w:shd w:val="clear" w:color="auto" w:fill="FFFFFF"/>
        </w:rPr>
        <w:t xml:space="preserve"> increasing the availability and acceptability of the digital infrastructure</w:t>
      </w:r>
    </w:p>
    <w:p w14:paraId="43FC8BBF" w14:textId="77777777" w:rsidR="001233D4" w:rsidRDefault="001233D4" w:rsidP="001233D4">
      <w:pPr>
        <w:pStyle w:val="ListParagraph"/>
        <w:numPr>
          <w:ilvl w:val="0"/>
          <w:numId w:val="22"/>
        </w:numPr>
        <w:rPr>
          <w:color w:val="auto"/>
          <w:shd w:val="clear" w:color="auto" w:fill="FFFFFF"/>
        </w:rPr>
      </w:pPr>
      <w:r>
        <w:rPr>
          <w:shd w:val="clear" w:color="auto" w:fill="FFFFFF"/>
        </w:rPr>
        <w:t xml:space="preserve"> increasing the accessibility and affordability of digital services</w:t>
      </w:r>
    </w:p>
    <w:p w14:paraId="4A89E56B" w14:textId="77777777" w:rsidR="001233D4" w:rsidRDefault="001233D4" w:rsidP="001233D4">
      <w:pPr>
        <w:pStyle w:val="ListParagraph"/>
        <w:numPr>
          <w:ilvl w:val="0"/>
          <w:numId w:val="22"/>
        </w:numPr>
        <w:rPr>
          <w:color w:val="auto"/>
          <w:shd w:val="clear" w:color="auto" w:fill="FFFFFF"/>
        </w:rPr>
      </w:pPr>
      <w:r>
        <w:rPr>
          <w:shd w:val="clear" w:color="auto" w:fill="FFFFFF"/>
        </w:rPr>
        <w:lastRenderedPageBreak/>
        <w:t xml:space="preserve"> empowering people by addressing disinformation and hate speech without censorship</w:t>
      </w:r>
    </w:p>
    <w:p w14:paraId="27331B34" w14:textId="77777777" w:rsidR="001233D4" w:rsidRDefault="001233D4" w:rsidP="001233D4">
      <w:pPr>
        <w:pStyle w:val="ListParagraph"/>
        <w:numPr>
          <w:ilvl w:val="0"/>
          <w:numId w:val="22"/>
        </w:numPr>
        <w:rPr>
          <w:color w:val="auto"/>
          <w:shd w:val="clear" w:color="auto" w:fill="FFFFFF"/>
        </w:rPr>
      </w:pPr>
      <w:r>
        <w:rPr>
          <w:shd w:val="clear" w:color="auto" w:fill="FFFFFF"/>
        </w:rPr>
        <w:t xml:space="preserve"> ensuring that internet access is not a cause for more surveillance</w:t>
      </w:r>
    </w:p>
    <w:p w14:paraId="6EA771DB" w14:textId="57AECB24" w:rsidR="001233D4" w:rsidRDefault="001233D4" w:rsidP="001233D4">
      <w:pPr>
        <w:rPr>
          <w:shd w:val="clear" w:color="auto" w:fill="FFFFFF"/>
        </w:rPr>
      </w:pPr>
      <w:r>
        <w:rPr>
          <w:shd w:val="clear" w:color="auto" w:fill="FFFFFF"/>
        </w:rPr>
        <w:t>As health and care systems seek to deliver services through digital platforms, it remains important to monitor and evaluate the levels of engagement to ensure that a focus on digital approaches does not inadvertently reinforce underlying inequalities in health, using some of the above strategies may help mitigate against this. However, it is worth noting that whilst these statements and guidance have been published, they were being published at a time when the health system was still coping with the dynamic and changing impacts of the pandemic and had sanctioned change to enable what it believed were systems to help patients and providers to continue to deliver the service. Therefore, a huge degree of research and data collection is still needed to assess if these recommendations do indeed deliver digital inclusion and equity.</w:t>
      </w:r>
    </w:p>
    <w:p w14:paraId="1AD77FE9" w14:textId="13F0CB52" w:rsidR="00E533AF" w:rsidRDefault="00E533AF" w:rsidP="00E533AF">
      <w:r>
        <w:rPr>
          <w:color w:val="auto"/>
          <w:shd w:val="clear" w:color="auto" w:fill="FFFFFF"/>
        </w:rPr>
        <w:t xml:space="preserve">In August 2020 </w:t>
      </w:r>
      <w:r>
        <w:t xml:space="preserve">ICSs </w:t>
      </w:r>
      <w:r w:rsidR="002108C1">
        <w:t xml:space="preserve">(Integrated Care Systems) </w:t>
      </w:r>
      <w:r>
        <w:t>were asked to develop digitally enabled care pathways that increase inclusion. Each ICS was asked to assess engagement with different channels of delivery, how this has affected access and put in place mitigations to address any issues. There were 4 specific requests:</w:t>
      </w:r>
    </w:p>
    <w:p w14:paraId="59373E14" w14:textId="59E711E8" w:rsidR="00E533AF" w:rsidRDefault="00503BCC" w:rsidP="00E533AF">
      <w:pPr>
        <w:pStyle w:val="ListParagraph"/>
        <w:widowControl/>
        <w:numPr>
          <w:ilvl w:val="0"/>
          <w:numId w:val="25"/>
        </w:numPr>
        <w:autoSpaceDE/>
        <w:autoSpaceDN/>
        <w:adjustRightInd/>
        <w:spacing w:after="160"/>
        <w:jc w:val="left"/>
      </w:pPr>
      <w:r>
        <w:t>Provide</w:t>
      </w:r>
      <w:r w:rsidR="00E533AF">
        <w:t xml:space="preserve"> </w:t>
      </w:r>
      <w:r>
        <w:t>q</w:t>
      </w:r>
      <w:r w:rsidR="00E533AF">
        <w:t>uantitative data</w:t>
      </w:r>
      <w:r>
        <w:t xml:space="preserve"> on</w:t>
      </w:r>
      <w:r w:rsidR="00E533AF">
        <w:t xml:space="preserve"> level of uptake in different areas e.g., acute, mental health, and whether uptake can be linked to specific groups</w:t>
      </w:r>
    </w:p>
    <w:p w14:paraId="375560AE" w14:textId="48D2869F" w:rsidR="00E533AF" w:rsidRDefault="00503BCC" w:rsidP="00E533AF">
      <w:pPr>
        <w:pStyle w:val="ListParagraph"/>
        <w:widowControl/>
        <w:numPr>
          <w:ilvl w:val="0"/>
          <w:numId w:val="25"/>
        </w:numPr>
        <w:autoSpaceDE/>
        <w:autoSpaceDN/>
        <w:adjustRightInd/>
        <w:spacing w:after="160"/>
        <w:jc w:val="left"/>
      </w:pPr>
      <w:r>
        <w:t>Provide</w:t>
      </w:r>
      <w:r w:rsidR="00E533AF">
        <w:t xml:space="preserve"> qualitative survey data re</w:t>
      </w:r>
      <w:r w:rsidR="0082770C">
        <w:t>garding</w:t>
      </w:r>
      <w:r w:rsidR="00E533AF">
        <w:t xml:space="preserve"> patient satisfaction</w:t>
      </w:r>
    </w:p>
    <w:p w14:paraId="616ABDC3" w14:textId="4CBD0942" w:rsidR="00E533AF" w:rsidRDefault="00E533AF" w:rsidP="00E533AF">
      <w:pPr>
        <w:pStyle w:val="ListParagraph"/>
        <w:widowControl/>
        <w:numPr>
          <w:ilvl w:val="0"/>
          <w:numId w:val="25"/>
        </w:numPr>
        <w:autoSpaceDE/>
        <w:autoSpaceDN/>
        <w:adjustRightInd/>
        <w:spacing w:after="160"/>
        <w:jc w:val="left"/>
      </w:pPr>
      <w:r>
        <w:t>Document</w:t>
      </w:r>
      <w:r w:rsidR="00503BCC">
        <w:t xml:space="preserve"> any</w:t>
      </w:r>
      <w:r>
        <w:t xml:space="preserve"> local interventions to mitigate against digital exclusion and how these were implemented</w:t>
      </w:r>
    </w:p>
    <w:p w14:paraId="56FED7C7" w14:textId="4F83639E" w:rsidR="00E533AF" w:rsidRDefault="00503BCC" w:rsidP="00E533AF">
      <w:pPr>
        <w:pStyle w:val="ListParagraph"/>
        <w:widowControl/>
        <w:numPr>
          <w:ilvl w:val="0"/>
          <w:numId w:val="25"/>
        </w:numPr>
        <w:autoSpaceDE/>
        <w:autoSpaceDN/>
        <w:adjustRightInd/>
        <w:spacing w:after="160"/>
        <w:jc w:val="left"/>
      </w:pPr>
      <w:r>
        <w:t>Suggest w</w:t>
      </w:r>
      <w:r w:rsidR="00E533AF">
        <w:t>hat support ICSs need form NHS</w:t>
      </w:r>
      <w:r w:rsidR="0082770C">
        <w:t xml:space="preserve"> </w:t>
      </w:r>
      <w:r w:rsidR="00E533AF">
        <w:t>E</w:t>
      </w:r>
      <w:r w:rsidR="0082770C">
        <w:t xml:space="preserve">ngland and NHS Improvement </w:t>
      </w:r>
    </w:p>
    <w:p w14:paraId="40198794" w14:textId="338E18E8" w:rsidR="00E533AF" w:rsidRDefault="00E533AF" w:rsidP="00E533AF">
      <w:pPr>
        <w:rPr>
          <w:rFonts w:cstheme="minorBidi"/>
          <w:color w:val="auto"/>
        </w:rPr>
      </w:pPr>
      <w:r>
        <w:rPr>
          <w:rFonts w:cstheme="minorBidi"/>
          <w:color w:val="auto"/>
        </w:rPr>
        <w:t>All 42 ICSs responded with the following key findings:</w:t>
      </w:r>
    </w:p>
    <w:p w14:paraId="3D72A681" w14:textId="2F366A5A" w:rsidR="00E533AF" w:rsidRDefault="00E533AF" w:rsidP="00E533AF">
      <w:pPr>
        <w:pStyle w:val="ListParagraph"/>
        <w:widowControl/>
        <w:numPr>
          <w:ilvl w:val="0"/>
          <w:numId w:val="27"/>
        </w:numPr>
        <w:autoSpaceDE/>
        <w:autoSpaceDN/>
        <w:adjustRightInd/>
        <w:spacing w:after="160"/>
        <w:jc w:val="left"/>
        <w:rPr>
          <w:rFonts w:cstheme="minorBidi"/>
          <w:color w:val="auto"/>
          <w:lang w:val="en-US"/>
        </w:rPr>
      </w:pPr>
      <w:r>
        <w:rPr>
          <w:lang w:val="en-US"/>
        </w:rPr>
        <w:t xml:space="preserve">There is limited evidence of use of data to drive improvement. Trusts reported that this was due to the pace and scale of change, and difficulty aggregating disparate datasets. Remote consultations are not interoperable with other IT systems, multiple platforms are in use, including different EPR </w:t>
      </w:r>
      <w:r w:rsidR="002108C1">
        <w:rPr>
          <w:lang w:val="en-US"/>
        </w:rPr>
        <w:t xml:space="preserve">(Electronic Patient Records) </w:t>
      </w:r>
      <w:r>
        <w:rPr>
          <w:lang w:val="en-US"/>
        </w:rPr>
        <w:t>systems</w:t>
      </w:r>
      <w:r w:rsidR="0082770C">
        <w:rPr>
          <w:lang w:val="en-US"/>
        </w:rPr>
        <w:t>.</w:t>
      </w:r>
    </w:p>
    <w:p w14:paraId="726A7BCD" w14:textId="3A15CA70" w:rsidR="00E533AF" w:rsidRDefault="00E533AF" w:rsidP="00E533AF">
      <w:pPr>
        <w:pStyle w:val="ListParagraph"/>
        <w:widowControl/>
        <w:numPr>
          <w:ilvl w:val="0"/>
          <w:numId w:val="27"/>
        </w:numPr>
        <w:autoSpaceDE/>
        <w:autoSpaceDN/>
        <w:adjustRightInd/>
        <w:spacing w:after="160"/>
        <w:jc w:val="left"/>
        <w:rPr>
          <w:lang w:val="en-US"/>
        </w:rPr>
      </w:pPr>
      <w:r>
        <w:rPr>
          <w:lang w:val="en-US"/>
        </w:rPr>
        <w:t>Data on ethnicity is unreliable, time intensive to collect, deprivation data is not available and data on protected characteristics also not available.</w:t>
      </w:r>
    </w:p>
    <w:p w14:paraId="3E0547BD" w14:textId="5CE55B38" w:rsidR="00E533AF" w:rsidRPr="00E533AF" w:rsidRDefault="00E533AF" w:rsidP="00E533AF">
      <w:pPr>
        <w:pStyle w:val="ListParagraph"/>
        <w:numPr>
          <w:ilvl w:val="0"/>
          <w:numId w:val="27"/>
        </w:numPr>
        <w:rPr>
          <w:rFonts w:cstheme="minorBidi"/>
          <w:color w:val="auto"/>
        </w:rPr>
      </w:pPr>
      <w:r>
        <w:t>ICSs can generally quantify the number of remote consultations, across different services, using data from digital platform suppliers. However, this data cannot normally be linked to patient demographic data- this is because it is typically collected form the platforms themselves that are</w:t>
      </w:r>
      <w:r w:rsidR="0082770C">
        <w:t xml:space="preserve"> </w:t>
      </w:r>
      <w:r>
        <w:t>n</w:t>
      </w:r>
      <w:r w:rsidR="0082770C">
        <w:t>o</w:t>
      </w:r>
      <w:r>
        <w:t xml:space="preserve">t linked. Nor can it show digital platform usage as a proportion of all </w:t>
      </w:r>
      <w:r>
        <w:lastRenderedPageBreak/>
        <w:t xml:space="preserve">appointments. </w:t>
      </w:r>
    </w:p>
    <w:p w14:paraId="1A359EE2" w14:textId="2CCF6166" w:rsidR="00E533AF" w:rsidRPr="00E533AF" w:rsidRDefault="00E533AF" w:rsidP="00E533AF">
      <w:pPr>
        <w:pStyle w:val="ListParagraph"/>
        <w:numPr>
          <w:ilvl w:val="0"/>
          <w:numId w:val="27"/>
        </w:numPr>
        <w:rPr>
          <w:rFonts w:cstheme="minorBidi"/>
          <w:color w:val="auto"/>
        </w:rPr>
      </w:pPr>
      <w:r>
        <w:t>Routine NHS data, and digital supplier data, is not sufficient for monitoring ‘digital exclusion’, as it does not identify patients who are not accessing health services at all. A minority of ICSs attempted to identify areas in their local region where there are likely to be high proportions of ‘digitally excluded’ patients</w:t>
      </w:r>
      <w:r w:rsidR="002F11F0">
        <w:t>.</w:t>
      </w:r>
      <w:r>
        <w:t xml:space="preserve"> </w:t>
      </w:r>
      <w:r w:rsidR="002F11F0">
        <w:t>S</w:t>
      </w:r>
      <w:r>
        <w:t>ome ICSs also plan to develop ‘population health management’ tools- although no further detail on the potential tools was provided.</w:t>
      </w:r>
    </w:p>
    <w:p w14:paraId="73ED935D" w14:textId="65E95786" w:rsidR="00E533AF" w:rsidRDefault="00E533AF" w:rsidP="00E533AF">
      <w:pPr>
        <w:pStyle w:val="ListParagraph"/>
        <w:numPr>
          <w:ilvl w:val="0"/>
          <w:numId w:val="27"/>
        </w:numPr>
        <w:rPr>
          <w:rFonts w:cstheme="minorBidi"/>
          <w:color w:val="auto"/>
        </w:rPr>
      </w:pPr>
      <w:r>
        <w:t>Patients are generally satisfied with remote consulting. However, in most cases, survey respondents were ‘self-selecting’, and had the skills and devices to complete online 2 questionnaire forms. Several ICSs noted that they could</w:t>
      </w:r>
      <w:r w:rsidR="0082770C">
        <w:t xml:space="preserve"> </w:t>
      </w:r>
      <w:r>
        <w:t>n</w:t>
      </w:r>
      <w:r w:rsidR="0082770C">
        <w:t>o</w:t>
      </w:r>
      <w:r>
        <w:t>t yet do ‘outreach’ surveys with digitally excluded people, because of social distancing restrictions.</w:t>
      </w:r>
    </w:p>
    <w:p w14:paraId="370E0DB1" w14:textId="39F4CD9D" w:rsidR="00E533AF" w:rsidRDefault="00E533AF" w:rsidP="00E533AF">
      <w:pPr>
        <w:ind w:left="360"/>
        <w:rPr>
          <w:rFonts w:cstheme="minorBidi"/>
          <w:color w:val="auto"/>
        </w:rPr>
      </w:pPr>
      <w:r>
        <w:rPr>
          <w:rFonts w:cstheme="minorBidi"/>
          <w:color w:val="auto"/>
        </w:rPr>
        <w:t>The report included some pertinent potential actions which findings from our review would support:</w:t>
      </w:r>
    </w:p>
    <w:p w14:paraId="6E3AA0A6" w14:textId="1D051DB7" w:rsidR="00E533AF" w:rsidRPr="00E533AF" w:rsidRDefault="00BA2C12" w:rsidP="00E533AF">
      <w:pPr>
        <w:pStyle w:val="ListParagraph"/>
        <w:numPr>
          <w:ilvl w:val="3"/>
          <w:numId w:val="25"/>
        </w:numPr>
        <w:ind w:left="1276"/>
        <w:rPr>
          <w:rFonts w:cstheme="minorBidi"/>
          <w:color w:val="auto"/>
        </w:rPr>
      </w:pPr>
      <w:r>
        <w:t>D</w:t>
      </w:r>
      <w:r w:rsidR="00E533AF">
        <w:t xml:space="preserve">efine a suitable ‘population health management’ approach, whereby digitally excluded patients are identified and proactively contacted. </w:t>
      </w:r>
    </w:p>
    <w:p w14:paraId="68CDB401" w14:textId="46E77E13" w:rsidR="00BA2C12" w:rsidRPr="00BA2C12" w:rsidRDefault="00BA2C12" w:rsidP="00E533AF">
      <w:pPr>
        <w:pStyle w:val="ListParagraph"/>
        <w:numPr>
          <w:ilvl w:val="3"/>
          <w:numId w:val="25"/>
        </w:numPr>
        <w:ind w:left="1276"/>
        <w:rPr>
          <w:rFonts w:cstheme="minorBidi"/>
          <w:color w:val="auto"/>
        </w:rPr>
      </w:pPr>
      <w:r>
        <w:t>D</w:t>
      </w:r>
      <w:r w:rsidR="00E533AF">
        <w:t xml:space="preserve">evelop and promote a universal ‘flag’ system, for shared care records, to help providers identify which patients might be digitally excluded, or who are at risk of being so. </w:t>
      </w:r>
    </w:p>
    <w:p w14:paraId="7F80DC1E" w14:textId="14014B22" w:rsidR="00E533AF" w:rsidRPr="00BA2C12" w:rsidRDefault="00BA2C12" w:rsidP="00E533AF">
      <w:pPr>
        <w:pStyle w:val="ListParagraph"/>
        <w:numPr>
          <w:ilvl w:val="3"/>
          <w:numId w:val="25"/>
        </w:numPr>
        <w:ind w:left="1276"/>
        <w:rPr>
          <w:rFonts w:cstheme="minorBidi"/>
          <w:color w:val="auto"/>
        </w:rPr>
      </w:pPr>
      <w:r>
        <w:t>D</w:t>
      </w:r>
      <w:r w:rsidR="00E533AF">
        <w:t>evelop meaningful ‘metrics’ to measure digital inclusion.</w:t>
      </w:r>
    </w:p>
    <w:p w14:paraId="28C7C1D7" w14:textId="24D26974" w:rsidR="005002D0" w:rsidRPr="002108C1" w:rsidRDefault="00BA2C12" w:rsidP="002108C1">
      <w:pPr>
        <w:pStyle w:val="ListParagraph"/>
        <w:numPr>
          <w:ilvl w:val="3"/>
          <w:numId w:val="25"/>
        </w:numPr>
        <w:ind w:left="1276"/>
        <w:rPr>
          <w:rFonts w:cstheme="minorBidi"/>
          <w:color w:val="auto"/>
        </w:rPr>
      </w:pPr>
      <w:r>
        <w:t>Define consistent criteria for assessing the usability and accessibility of digital platforms.</w:t>
      </w:r>
    </w:p>
    <w:p w14:paraId="12642282" w14:textId="77777777" w:rsidR="005002D0" w:rsidRPr="00756BA5" w:rsidRDefault="005002D0" w:rsidP="00756BA5">
      <w:pPr>
        <w:pStyle w:val="ListParagraph"/>
        <w:widowControl/>
        <w:autoSpaceDE/>
        <w:autoSpaceDN/>
        <w:adjustRightInd/>
        <w:spacing w:after="160"/>
        <w:rPr>
          <w:color w:val="auto"/>
          <w:shd w:val="clear" w:color="auto" w:fill="FFFFFF"/>
        </w:rPr>
      </w:pPr>
    </w:p>
    <w:p w14:paraId="7C0B6907" w14:textId="2BD39232" w:rsidR="00DF3485" w:rsidRPr="002108C1" w:rsidRDefault="00756BA5" w:rsidP="002108C1">
      <w:pPr>
        <w:pStyle w:val="ListParagraph"/>
        <w:numPr>
          <w:ilvl w:val="0"/>
          <w:numId w:val="21"/>
        </w:numPr>
        <w:rPr>
          <w:b/>
          <w:sz w:val="23"/>
          <w:szCs w:val="23"/>
        </w:rPr>
      </w:pPr>
      <w:r w:rsidRPr="00756BA5">
        <w:rPr>
          <w:b/>
          <w:sz w:val="23"/>
          <w:szCs w:val="23"/>
        </w:rPr>
        <w:t xml:space="preserve">How have other sectors e.g. commercial and education </w:t>
      </w:r>
      <w:r w:rsidR="00E533AF" w:rsidRPr="00756BA5">
        <w:rPr>
          <w:b/>
          <w:sz w:val="23"/>
          <w:szCs w:val="23"/>
        </w:rPr>
        <w:t>succeeded in</w:t>
      </w:r>
      <w:r w:rsidRPr="00756BA5">
        <w:rPr>
          <w:b/>
          <w:sz w:val="23"/>
          <w:szCs w:val="23"/>
        </w:rPr>
        <w:t xml:space="preserve"> collecting data related to digital exclusion and or deprivation?</w:t>
      </w:r>
    </w:p>
    <w:p w14:paraId="5EC78050" w14:textId="1C89B167" w:rsidR="00D70641" w:rsidRPr="006279EB" w:rsidRDefault="00D70641" w:rsidP="00C3363D">
      <w:r w:rsidRPr="006279EB">
        <w:t>Sectors other than healthcare have been looking at addressing the digital divide. A 2014 report from BT on valuing digital inclusion analysed the social return on investment of digital inclusion. For individuals, getting online was noted to be worth £1,064 a year due to increased confidence, reduced social isolation, financial savings and opportunities in employment and leisure. For workers, getting online was worth £3,568 per year due to opportunities for remote working and increased opportunities to earn.</w:t>
      </w:r>
      <w:r w:rsidR="00EB1673">
        <w:fldChar w:fldCharType="begin"/>
      </w:r>
      <w:r w:rsidR="00FA5363">
        <w:instrText xml:space="preserve"> ADDIN EN.CITE &lt;EndNote&gt;&lt;Cite&gt;&lt;Author&gt;Lawler&lt;/Author&gt;&lt;Year&gt;2014&lt;/Year&gt;&lt;IDText&gt;Valuing Digital inclusion  Calculating&lt;/IDText&gt;&lt;DisplayText&gt;[26]&lt;/DisplayText&gt;&lt;record&gt;&lt;urls&gt;&lt;related-urls&gt;&lt;url&gt;https://www.justeconomics.co.uk/uploads/reports/Just-Economics-BT-Valuing-Digital-Inclusion.pdf&lt;/url&gt;&lt;/related-urls&gt;&lt;/urls&gt;&lt;titles&gt;&lt;title&gt;Valuing Digital inclusion  Calculating&amp;#xA;the social value to individuals of going online. For the BT Get IT Together&amp;#xA;Project. &lt;/title&gt;&lt;/titles&gt;&lt;contributors&gt;&lt;authors&gt;&lt;author&gt;Lawler, E&lt;/author&gt;&lt;/authors&gt;&lt;/contributors&gt;&lt;added-date format="utc"&gt;1633287830&lt;/added-date&gt;&lt;ref-type name="Report"&gt;27&lt;/ref-type&gt;&lt;dates&gt;&lt;year&gt;2014&lt;/year&gt;&lt;/dates&gt;&lt;rec-number&gt;303&lt;/rec-number&gt;&lt;last-updated-date format="utc"&gt;1633288028&lt;/last-updated-date&gt;&lt;/record&gt;&lt;/Cite&gt;&lt;/EndNote&gt;</w:instrText>
      </w:r>
      <w:r w:rsidR="00EB1673">
        <w:fldChar w:fldCharType="separate"/>
      </w:r>
      <w:r w:rsidR="00FA5363">
        <w:rPr>
          <w:noProof/>
        </w:rPr>
        <w:t>[26]</w:t>
      </w:r>
      <w:r w:rsidR="00EB1673">
        <w:fldChar w:fldCharType="end"/>
      </w:r>
      <w:r w:rsidRPr="006279EB">
        <w:t xml:space="preserve"> </w:t>
      </w:r>
      <w:r w:rsidRPr="00EB1673">
        <w:t>A 2016 analysis of Scottish data carried out by Ipsos MORI for Carnegie UK Trust showed the association of internet use with better health and wellbeing. Those who used the internet were more likely to have been to a cultural event, visited the outdoors for recreation, taken part in sport or volunteered. Conversely those who were not online were more likely to have visited their doctor once a month or more.</w:t>
      </w:r>
      <w:r w:rsidR="00EB1673" w:rsidRPr="00EB1673">
        <w:fldChar w:fldCharType="begin"/>
      </w:r>
      <w:r w:rsidR="00FA5363">
        <w:instrText xml:space="preserve"> ADDIN EN.CITE &lt;EndNote&gt;&lt;Cite&gt;&lt;Author&gt;Martin&lt;/Author&gt;&lt;Year&gt;2016&lt;/Year&gt;&lt;IDText&gt;The&lt;/IDText&gt;&lt;DisplayText&gt;[27]&lt;/DisplayText&gt;&lt;record&gt;&lt;urls&gt;&lt;related-urls&gt;&lt;url&gt;https://www.carnegieuktrust.org.uk/publications/role-digital-exclusion-social-exclusion-2/&lt;/url&gt;&lt;/related-urls&gt;&lt;/urls&gt;&lt;titles&gt;&lt;title&gt;The&amp;#xA;role of digital exclusion in social exclusion&lt;/title&gt;&lt;/titles&gt;&lt;contributors&gt;&lt;authors&gt;&lt;author&gt;Martin, C&lt;/author&gt;&lt;author&gt;Hope, S&lt;/author&gt;&lt;author&gt;Zubairi,S&lt;/author&gt;&lt;author&gt;Ipsos MORI Scotland&lt;/author&gt;&lt;/authors&gt;&lt;/contributors&gt;&lt;added-date format="utc"&gt;1633288105&lt;/added-date&gt;&lt;ref-type name="Report"&gt;27&lt;/ref-type&gt;&lt;dates&gt;&lt;year&gt;2016&lt;/year&gt;&lt;/dates&gt;&lt;rec-number&gt;304&lt;/rec-number&gt;&lt;last-updated-date format="utc"&gt;1633288175&lt;/last-updated-date&gt;&lt;/record&gt;&lt;/Cite&gt;&lt;/EndNote&gt;</w:instrText>
      </w:r>
      <w:r w:rsidR="00EB1673" w:rsidRPr="00EB1673">
        <w:fldChar w:fldCharType="separate"/>
      </w:r>
      <w:r w:rsidR="00FA5363">
        <w:rPr>
          <w:noProof/>
        </w:rPr>
        <w:t>[27]</w:t>
      </w:r>
      <w:r w:rsidR="00EB1673" w:rsidRPr="00EB1673">
        <w:fldChar w:fldCharType="end"/>
      </w:r>
    </w:p>
    <w:p w14:paraId="3853275E" w14:textId="7E1A13D7" w:rsidR="00D70641" w:rsidRPr="00AF2081" w:rsidRDefault="008B53FA" w:rsidP="00AF2081">
      <w:pPr>
        <w:rPr>
          <w:shd w:val="clear" w:color="auto" w:fill="FFFFFF"/>
        </w:rPr>
      </w:pPr>
      <w:r>
        <w:lastRenderedPageBreak/>
        <w:t xml:space="preserve">The </w:t>
      </w:r>
      <w:r w:rsidR="00D70641" w:rsidRPr="006279EB">
        <w:t>C</w:t>
      </w:r>
      <w:r w:rsidR="00AF2081">
        <w:t>OVID</w:t>
      </w:r>
      <w:r w:rsidR="00D70641" w:rsidRPr="006279EB">
        <w:t xml:space="preserve">-19 pandemic has had an unprecedented effect on education worldwide. </w:t>
      </w:r>
      <w:r w:rsidR="00D70641" w:rsidRPr="006279EB">
        <w:rPr>
          <w:rFonts w:cs="Arial"/>
          <w:shd w:val="clear" w:color="auto" w:fill="FFFFFF"/>
        </w:rPr>
        <w:t>Multiple studies and reports have reviewed the impact of the pandemic on education</w:t>
      </w:r>
      <w:r w:rsidR="00D70641">
        <w:rPr>
          <w:rFonts w:cs="Arial"/>
          <w:shd w:val="clear" w:color="auto" w:fill="FFFFFF"/>
        </w:rPr>
        <w:t>.</w:t>
      </w:r>
      <w:r w:rsidR="00D70641" w:rsidRPr="006279EB">
        <w:rPr>
          <w:rFonts w:cs="Arial"/>
          <w:shd w:val="clear" w:color="auto" w:fill="FFFFFF"/>
        </w:rPr>
        <w:t xml:space="preserve"> </w:t>
      </w:r>
      <w:r w:rsidR="00D70641" w:rsidRPr="006279EB">
        <w:t>There were multiple organisations involved in data collection</w:t>
      </w:r>
      <w:r w:rsidR="00B54CF8">
        <w:t>.</w:t>
      </w:r>
      <w:r w:rsidR="00D70641" w:rsidRPr="006279EB">
        <w:t xml:space="preserve"> </w:t>
      </w:r>
      <w:r w:rsidR="00B54CF8">
        <w:t>The m</w:t>
      </w:r>
      <w:r w:rsidR="00D70641" w:rsidRPr="006279EB">
        <w:t xml:space="preserve">ost pertinent studies published were supported by the Cambridge partnership for education, </w:t>
      </w:r>
      <w:r w:rsidR="00D70641" w:rsidRPr="006279EB">
        <w:rPr>
          <w:rFonts w:cs="Arial"/>
        </w:rPr>
        <w:t>National Foundation for Educational Research (NFER</w:t>
      </w:r>
      <w:r w:rsidR="00EB1673">
        <w:rPr>
          <w:rFonts w:cs="Arial"/>
        </w:rPr>
        <w:t>)</w:t>
      </w:r>
      <w:r w:rsidR="00D70641" w:rsidRPr="006279EB">
        <w:rPr>
          <w:rFonts w:cs="Arial"/>
        </w:rPr>
        <w:t>;</w:t>
      </w:r>
      <w:r w:rsidR="00D70641" w:rsidRPr="006279EB">
        <w:t xml:space="preserve"> </w:t>
      </w:r>
      <w:r w:rsidR="00D70641" w:rsidRPr="006279EB">
        <w:rPr>
          <w:rFonts w:cs="Arial"/>
        </w:rPr>
        <w:t xml:space="preserve">Centre for Learning and Life Chances in Knowledge Economies and Societies (LLakes); </w:t>
      </w:r>
      <w:r w:rsidR="00D70641">
        <w:rPr>
          <w:rFonts w:cs="Arial"/>
        </w:rPr>
        <w:t>I</w:t>
      </w:r>
      <w:r w:rsidR="00D70641" w:rsidRPr="006279EB">
        <w:rPr>
          <w:rFonts w:cs="Arial"/>
        </w:rPr>
        <w:t xml:space="preserve">nstitute for fiscal studies, Sutton trust and </w:t>
      </w:r>
      <w:r w:rsidR="00D70641">
        <w:rPr>
          <w:rFonts w:cs="Arial"/>
        </w:rPr>
        <w:t>E</w:t>
      </w:r>
      <w:r w:rsidR="00D70641" w:rsidRPr="006279EB">
        <w:rPr>
          <w:rFonts w:cs="Arial"/>
        </w:rPr>
        <w:t>durio.</w:t>
      </w:r>
      <w:r w:rsidR="00EB1673">
        <w:rPr>
          <w:rFonts w:cs="Arial"/>
        </w:rPr>
        <w:fldChar w:fldCharType="begin">
          <w:fldData xml:space="preserve">PEVuZE5vdGU+PENpdGU+PEF1dGhvcj5KdWxpdXM8L0F1dGhvcj48WWVhcj4yMDIwPC9ZZWFyPjxJ
RFRleHQ+U2Nob29sc+KAmTwvSURUZXh0PjxEaXNwbGF5VGV4dD5bMjgtMzNdPC9EaXNwbGF5VGV4
dD48cmVjb3JkPjxjb250cmlidXRvcnM+PHRlcnRpYXJ5LWF1dGhvcnM+PGF1dGhvcj5OYXRpb25h
bDwvYXV0aG9yPjxhdXRob3I+Rm91bmRhdGlvbiBmb3IgRWR1Y2F0aW9uYWwgUmVzZWFyY2ggW05G
RVJdPC9hdXRob3I+PC90ZXJ0aWFyeS1hdXRob3JzPjwvY29udHJpYnV0b3JzPjx1cmxzPjxyZWxh
dGVkLXVybHM+PHVybD5odHRwczovL3d3dy5uZmVyLmFjLnVrL21lZGlhLzQwNzUvc2Nob29sc19y
ZXNwb25zZXNfdG9fY292aWRfMTlfc3VwcG9ydF9mb3JfdnVsbmVyYWJsZV9wdXBpbHNfYW5kX3Ro
ZV9jaGlsZHJlbl9vZl9rZXl3b3JrZXJzLnBkZjwvdXJsPjwvcmVsYXRlZC11cmxzPjwvdXJscz48
dGl0bGVzPjx0aXRsZT5TY2hvb2xz4oCZJiN4QTtyZXNwb25zZXMgdG8gQ292aWQtMTkgOiBTdXBw
b3J0IGZvciB2dWxuZXJhYmxlIHB1cGlscyBhbmQgdGhlIGNoaWxkcmVuIG9mJiN4QTtrZXl3b3Jr
ZXJzLjwvdGl0bGU+PC90aXRsZXM+PGNvbnRyaWJ1dG9ycz48YXV0aG9ycz48YXV0aG9yPkp1bGl1
cyw8L2F1dGhvcj48YXV0aG9yPkouPC9hdXRob3I+PGF1dGhvcj5TaW1zLCBEPC9hdXRob3I+PC9h
dXRob3JzPjwvY29udHJpYnV0b3JzPjxhZGRlZC1kYXRlIGZvcm1hdD0idXRjIj4xNjMzMjg5MDY0
PC9hZGRlZC1kYXRlPjxyZWYtdHlwZSBuYW1lPSJSZXBvcnQiPjI3PC9yZWYtdHlwZT48ZGF0ZXM+
PHllYXI+MjAyMDwveWVhcj48L2RhdGVzPjxyZWMtbnVtYmVyPjMwNzwvcmVjLW51bWJlcj48bGFz
dC11cGRhdGVkLWRhdGUgZm9ybWF0PSJ1dGMiPjE2MzMyODkxMDU8L2xhc3QtdXBkYXRlZC1kYXRl
PjwvcmVjb3JkPjwvQ2l0ZT48Q2l0ZT48QXV0aG9yPkx1Y2FzPC9BdXRob3I+PFllYXI+MjAyMDwv
WWVhcj48SURUZXh0PlNjaG9vbHPigJk8L0lEVGV4dD48cmVjb3JkPjx1cmxzPjxyZWxhdGVkLXVy
bHM+PHVybD5odHRwczovL3d3dy5uZmVyLmFjLnVrL21lZGlhLzQwNzMvc2Nob29sc19yZXNwb25z
ZXNfdG9fY292aWRfMTlfcHVwaWxfZW5nYWdlbWVudF9pbl9yZW1vdGVfbGVhcm5pbmcucGRmPC91
cmw+PC9yZWxhdGVkLXVybHM+PC91cmxzPjx0aXRsZXM+PHRpdGxlPlNjaG9vbHPigJkmI3hBO3Jl
c3BvbnNlcyB0byBDb3ZpZC0xOSA6IFB1cGlsIGVuZ2FnZW1lbnQgaW4gcmVtb3RlIGxlYXJuaW5n
LjwvdGl0bGU+PC90aXRsZXM+PGNvbnRyaWJ1dG9ycz48YXV0aG9ycz48YXV0aG9yPkx1Y2FzLDwv
YXV0aG9yPjxhdXRob3I+TTwvYXV0aG9yPjxhdXRob3I+TmVsc29uLCBKPC9hdXRob3I+PGF1dGhv
cj5TaW1zLCBEPC9hdXRob3I+PC9hdXRob3JzPjwvY29udHJpYnV0b3JzPjxhZGRlZC1kYXRlIGZv
cm1hdD0idXRjIj4xNjMzMjg4OTkzPC9hZGRlZC1kYXRlPjxyZWYtdHlwZSBuYW1lPSJSZXBvcnQi
PjI3PC9yZWYtdHlwZT48ZGF0ZXM+PHllYXI+MjAyMDwveWVhcj48L2RhdGVzPjxyZWMtbnVtYmVy
PjMwNjwvcmVjLW51bWJlcj48cHVibGlzaGVyPk5hdGlvbmFsJiN4QTtmb3VuZGF0aW9uIGZvciBF
ZHVjYXRpb25hbCBSZXNlYXJjaCBbTkZFUl0uwqA8L3B1Ymxpc2hlcj48bGFzdC11cGRhdGVkLWRh
dGUgZm9ybWF0PSJ1dGMiPjE2MzMyODkwMjY8L2xhc3QtdXBkYXRlZC1kYXRlPjwvcmVjb3JkPjwv
Q2l0ZT48Q2l0ZT48QXV0aG9yPk5lbHNvbjwvQXV0aG9yPjxZZWFyPjIwMjA8L1llYXI+PElEVGV4
dD5TY2hvb2xz4oCZPC9JRFRleHQ+PHJlY29yZD48Y29udHJpYnV0b3JzPjx0ZXJ0aWFyeS1hdXRo
b3JzPjxhdXRob3I+TmF0aW9uYWw8L2F1dGhvcj48YXV0aG9yPkZvdW5kYXRpb24gZm9yIEVkdWNh
dGlvbmFsIFJlc2VhcmNoIFtORkVSXTwvYXV0aG9yPjwvdGVydGlhcnktYXV0aG9ycz48L2NvbnRy
aWJ1dG9ycz48dXJscz48cmVsYXRlZC11cmxzPjx1cmw+aHR0cHM6Ly93d3cubmZlci5hYy51ay9z
Y2hvb2xzLXJlc3BvbnNlcy10by1jb3ZpZC0xOS1rZXktZmluZGluZ3MtZnJvbS10aGUtd2F2ZS0x
LXN1cnZleS88L3VybD48L3JlbGF0ZWQtdXJscz48L3VybHM+PHRpdGxlcz48dGl0bGU+U2Nob29s
c+KAmSYjeEE7cmVzcG9uc2VzIHRvIENvdmlkLTE5IDogS2V5IGZpbmRpbmdzIGZyb20gdGhlIFdh
dmUgMSBTdXJ2ZXk8L3RpdGxlPjwvdGl0bGVzPjxjb250cmlidXRvcnM+PGF1dGhvcnM+PGF1dGhv
cj5OZWxzb24sPC9hdXRob3I+PGF1dGhvcj5KPC9hdXRob3I+PGF1dGhvcj5TaGFycCwgQzwvYXV0
aG9yPjwvYXV0aG9ycz48L2NvbnRyaWJ1dG9ycz48YWRkZWQtZGF0ZSBmb3JtYXQ9InV0YyI+MTYz
MzI4OTE0NDwvYWRkZWQtZGF0ZT48cmVmLXR5cGUgbmFtZT0iUmVwb3J0Ij4yNzwvcmVmLXR5cGU+
PGRhdGVzPjx5ZWFyPjIwMjA8L3llYXI+PC9kYXRlcz48cmVjLW51bWJlcj4zMDg8L3JlYy1udW1i
ZXI+PGxhc3QtdXBkYXRlZC1kYXRlIGZvcm1hdD0idXRjIj4xNjMzMjg5NzA5PC9sYXN0LXVwZGF0
ZWQtZGF0ZT48L3JlY29yZD48L0NpdGU+PENpdGU+PEF1dGhvcj5HcmVlbjwvQXV0aG9yPjxZZWFy
PjIwMjA8L1llYXI+PElEVGV4dD5TY2hvb2x3b3JrPC9JRFRleHQ+PHJlY29yZD48Y29udHJpYnV0
b3JzPjx0ZXJ0aWFyeS1hdXRob3JzPjxhdXRob3I+Q2VudHJlPC9hdXRob3I+PGF1dGhvcj5mb3Ig
TGVhcm5pbmcgYW5kIExpZmUgQ2hhbmNlcyBpbiBLbm93bGVkZ2UgRWNvbm9taWVzIGFuZCBTb2Np
ZXRpZXMgKExMQWtlcyk8L2F1dGhvcj48L3RlcnRpYXJ5LWF1dGhvcnM+PC9jb250cmlidXRvcnM+
PHVybHM+PHJlbGF0ZWQtdXJscz48dXJsPmh0dHBzOi8vd3d3LmxsYWtlcy5hYy51ay9zaXRlcy9k
ZWZhdWx0L2ZpbGVzL0xMQUtFUyUyMFdvcmtpbmclMjBQYXBlciUyMDY3XzAucGRmPC91cmw+PC9y
ZWxhdGVkLXVybHM+PC91cmxzPjx0aXRsZXM+PHRpdGxlPlNjaG9vbHdvcmsmI3hBO2luIGxvY2tk
b3duOiBuZXcgZXZpZGVuY2Ugb24gdGhlIGVwaWRlbWljIG9mIGVkdWNhdGlvbmFsIHBvdmVydHku
PC90aXRsZT48L3RpdGxlcz48Y29udHJpYnV0b3JzPjxhdXRob3JzPjxhdXRob3I+R3JlZW4sIEY8
L2F1dGhvcj48L2F1dGhvcnM+PC9jb250cmlidXRvcnM+PGFkZGVkLWRhdGUgZm9ybWF0PSJ1dGMi
PjE2MzMyODk3Mzg8L2FkZGVkLWRhdGU+PHJlZi10eXBlIG5hbWU9IlJlcG9ydCI+Mjc8L3JlZi10
eXBlPjxkYXRlcz48eWVhcj4yMDIwPC95ZWFyPjwvZGF0ZXM+PHJlYy1udW1iZXI+MzA5PC9yZWMt
bnVtYmVyPjxsYXN0LXVwZGF0ZWQtZGF0ZSBmb3JtYXQ9InV0YyI+MTYzMzI4OTc4NDwvbGFzdC11
cGRhdGVkLWRhdGU+PC9yZWNvcmQ+PC9DaXRlPjxDaXRlPjxBdXRob3I+Q2F0dGFuPC9BdXRob3I+
PFllYXI+MjAyMTwvWWVhcj48SURUZXh0PkluZXF1YWxpdGllczwvSURUZXh0PjxyZWNvcmQ+PGNv
bnRyaWJ1dG9ycz48dGVydGlhcnktYXV0aG9ycz48YXV0aG9yPkluc3RpdHV0ZTwvYXV0aG9yPjxh
dXRob3I+Zm9yIEZpc2NhbCBTdHVkaWVzPC9hdXRob3I+PC90ZXJ0aWFyeS1hdXRob3JzPjwvY29u
dHJpYnV0b3JzPjx1cmxzPjxyZWxhdGVkLXVybHM+PHVybD5odHRwczovL2RvaS5vcmcvMTAuMTky
MC93cC5pZnMuMjAyMS40MjE8L3VybD48L3JlbGF0ZWQtdXJscz48L3VybHM+PHRpdGxlcz48dGl0
bGU+SW5lcXVhbGl0aWVzJiN4QTtpbiByZXNwb25zZXMgdG8gc2Nob29sIGNsb3N1cmVzIG92ZXIg
dGhlIGNvdXJzZSBvZiB0aGUgZmlyc3QgQ292aWQtMTkgbG9ja2Rvd24mI3hBOyhJRlMgd29ya2lu
ZyBwYXBlciBXMjEvNCkuPC90aXRsZT48L3RpdGxlcz48Y29udHJpYnV0b3JzPjxhdXRob3JzPjxh
dXRob3I+Q2F0dGFuLDwvYXV0aG9yPjxhdXRob3I+UzwvYXV0aG9yPjxhdXRob3I+RmFycXVoYXJz
b24sIEM8L2F1dGhvcj48YXV0aG9yPkt1cnRpa292YSwgUzwvYXV0aG9yPjxhdXRob3I+UGhpbWlz
dGVyLCBBPC9hdXRob3I+PGF1dGhvcj5TYWxpYnVyeSwgQTwvYXV0aG9yPjxhdXRob3I+U2V2aWxs
YSwgQTwvYXV0aG9yPjwvYXV0aG9ycz48L2NvbnRyaWJ1dG9ycz48YWRkZWQtZGF0ZSBmb3JtYXQ9
InV0YyI+MTYzMzI4OTgzNDwvYWRkZWQtZGF0ZT48cmVmLXR5cGUgbmFtZT0iUmVwb3J0Ij4yNzwv
cmVmLXR5cGU+PGRhdGVzPjx5ZWFyPjIwMjE8L3llYXI+PC9kYXRlcz48cmVjLW51bWJlcj4zMTA8
L3JlYy1udW1iZXI+PGxhc3QtdXBkYXRlZC1kYXRlIGZvcm1hdD0idXRjIj4xNjMzMjg5ODg4PC9s
YXN0LXVwZGF0ZWQtZGF0ZT48L3JlY29yZD48L0NpdGU+PENpdGU+PEF1dGhvcj5Nb250YWN1dGU8
L0F1dGhvcj48WWVhcj4yMDIxPC9ZZWFyPjxJRFRleHQ+TGVhcm5pbmc8L0lEVGV4dD48cmVjb3Jk
Pjxjb250cmlidXRvcnM+PHRlcnRpYXJ5LWF1dGhvcnM+PGF1dGhvcj5UaGU8L2F1dGhvcj48YXV0
aG9yPlN1dHRvbiBUcnVzdDwvYXV0aG9yPjwvdGVydGlhcnktYXV0aG9ycz48L2NvbnRyaWJ1dG9y
cz48dXJscz48cmVsYXRlZC11cmxzPjx1cmw+aHR0cHM6Ly93d3cuc3V0dG9udHJ1c3QuY29tL3dw
LWNvbnRlbnQvdXBsb2Fkcy8yMDIxLzAxL0xlYXJuaW5nLWluLUxvY2tkb3duLnBkZjwvdXJsPjwv
cmVsYXRlZC11cmxzPjwvdXJscz48dGl0bGVzPjx0aXRsZT5MZWFybmluZyYjeEE7aW4gbG9ja2Rv
d246IFJlc2VhcmNoIGJyaWVmPC90aXRsZT48L3RpdGxlcz48Y29udHJpYnV0b3JzPjxhdXRob3Jz
PjxhdXRob3I+TW9udGFjdXRlLDwvYXV0aG9yPjxhdXRob3I+UjwvYXV0aG9yPjxhdXRob3I+Q3Vs
bGluYW5lLCBDPC9hdXRob3I+PC9hdXRob3JzPjwvY29udHJpYnV0b3JzPjxhZGRlZC1kYXRlIGZv
cm1hdD0idXRjIj4xNjMzMjg5OTIxPC9hZGRlZC1kYXRlPjxyZWYtdHlwZSBuYW1lPSJSZXBvcnQi
PjI3PC9yZWYtdHlwZT48ZGF0ZXM+PHllYXI+MjAyMTwveWVhcj48L2RhdGVzPjxyZWMtbnVtYmVy
PjMxMTwvcmVjLW51bWJlcj48bGFzdC11cGRhdGVkLWRhdGUgZm9ybWF0PSJ1dGMiPjE2MzMyODk5
NjY8L2xhc3QtdXBkYXRlZC1kYXRlPjwvcmVjb3JkPjwvQ2l0ZT48L0VuZE5vdGU+AG==
</w:fldData>
        </w:fldChar>
      </w:r>
      <w:r w:rsidR="00FA5363">
        <w:rPr>
          <w:rFonts w:cs="Arial"/>
        </w:rPr>
        <w:instrText xml:space="preserve"> ADDIN EN.CITE </w:instrText>
      </w:r>
      <w:r w:rsidR="00FA5363">
        <w:rPr>
          <w:rFonts w:cs="Arial"/>
        </w:rPr>
        <w:fldChar w:fldCharType="begin">
          <w:fldData xml:space="preserve">PEVuZE5vdGU+PENpdGU+PEF1dGhvcj5KdWxpdXM8L0F1dGhvcj48WWVhcj4yMDIwPC9ZZWFyPjxJ
RFRleHQ+U2Nob29sc+KAmTwvSURUZXh0PjxEaXNwbGF5VGV4dD5bMjgtMzNdPC9EaXNwbGF5VGV4
dD48cmVjb3JkPjxjb250cmlidXRvcnM+PHRlcnRpYXJ5LWF1dGhvcnM+PGF1dGhvcj5OYXRpb25h
bDwvYXV0aG9yPjxhdXRob3I+Rm91bmRhdGlvbiBmb3IgRWR1Y2F0aW9uYWwgUmVzZWFyY2ggW05G
RVJdPC9hdXRob3I+PC90ZXJ0aWFyeS1hdXRob3JzPjwvY29udHJpYnV0b3JzPjx1cmxzPjxyZWxh
dGVkLXVybHM+PHVybD5odHRwczovL3d3dy5uZmVyLmFjLnVrL21lZGlhLzQwNzUvc2Nob29sc19y
ZXNwb25zZXNfdG9fY292aWRfMTlfc3VwcG9ydF9mb3JfdnVsbmVyYWJsZV9wdXBpbHNfYW5kX3Ro
ZV9jaGlsZHJlbl9vZl9rZXl3b3JrZXJzLnBkZjwvdXJsPjwvcmVsYXRlZC11cmxzPjwvdXJscz48
dGl0bGVzPjx0aXRsZT5TY2hvb2xz4oCZJiN4QTtyZXNwb25zZXMgdG8gQ292aWQtMTkgOiBTdXBw
b3J0IGZvciB2dWxuZXJhYmxlIHB1cGlscyBhbmQgdGhlIGNoaWxkcmVuIG9mJiN4QTtrZXl3b3Jr
ZXJzLjwvdGl0bGU+PC90aXRsZXM+PGNvbnRyaWJ1dG9ycz48YXV0aG9ycz48YXV0aG9yPkp1bGl1
cyw8L2F1dGhvcj48YXV0aG9yPkouPC9hdXRob3I+PGF1dGhvcj5TaW1zLCBEPC9hdXRob3I+PC9h
dXRob3JzPjwvY29udHJpYnV0b3JzPjxhZGRlZC1kYXRlIGZvcm1hdD0idXRjIj4xNjMzMjg5MDY0
PC9hZGRlZC1kYXRlPjxyZWYtdHlwZSBuYW1lPSJSZXBvcnQiPjI3PC9yZWYtdHlwZT48ZGF0ZXM+
PHllYXI+MjAyMDwveWVhcj48L2RhdGVzPjxyZWMtbnVtYmVyPjMwNzwvcmVjLW51bWJlcj48bGFz
dC11cGRhdGVkLWRhdGUgZm9ybWF0PSJ1dGMiPjE2MzMyODkxMDU8L2xhc3QtdXBkYXRlZC1kYXRl
PjwvcmVjb3JkPjwvQ2l0ZT48Q2l0ZT48QXV0aG9yPkx1Y2FzPC9BdXRob3I+PFllYXI+MjAyMDwv
WWVhcj48SURUZXh0PlNjaG9vbHPigJk8L0lEVGV4dD48cmVjb3JkPjx1cmxzPjxyZWxhdGVkLXVy
bHM+PHVybD5odHRwczovL3d3dy5uZmVyLmFjLnVrL21lZGlhLzQwNzMvc2Nob29sc19yZXNwb25z
ZXNfdG9fY292aWRfMTlfcHVwaWxfZW5nYWdlbWVudF9pbl9yZW1vdGVfbGVhcm5pbmcucGRmPC91
cmw+PC9yZWxhdGVkLXVybHM+PC91cmxzPjx0aXRsZXM+PHRpdGxlPlNjaG9vbHPigJkmI3hBO3Jl
c3BvbnNlcyB0byBDb3ZpZC0xOSA6IFB1cGlsIGVuZ2FnZW1lbnQgaW4gcmVtb3RlIGxlYXJuaW5n
LjwvdGl0bGU+PC90aXRsZXM+PGNvbnRyaWJ1dG9ycz48YXV0aG9ycz48YXV0aG9yPkx1Y2FzLDwv
YXV0aG9yPjxhdXRob3I+TTwvYXV0aG9yPjxhdXRob3I+TmVsc29uLCBKPC9hdXRob3I+PGF1dGhv
cj5TaW1zLCBEPC9hdXRob3I+PC9hdXRob3JzPjwvY29udHJpYnV0b3JzPjxhZGRlZC1kYXRlIGZv
cm1hdD0idXRjIj4xNjMzMjg4OTkzPC9hZGRlZC1kYXRlPjxyZWYtdHlwZSBuYW1lPSJSZXBvcnQi
PjI3PC9yZWYtdHlwZT48ZGF0ZXM+PHllYXI+MjAyMDwveWVhcj48L2RhdGVzPjxyZWMtbnVtYmVy
PjMwNjwvcmVjLW51bWJlcj48cHVibGlzaGVyPk5hdGlvbmFsJiN4QTtmb3VuZGF0aW9uIGZvciBF
ZHVjYXRpb25hbCBSZXNlYXJjaCBbTkZFUl0uwqA8L3B1Ymxpc2hlcj48bGFzdC11cGRhdGVkLWRh
dGUgZm9ybWF0PSJ1dGMiPjE2MzMyODkwMjY8L2xhc3QtdXBkYXRlZC1kYXRlPjwvcmVjb3JkPjwv
Q2l0ZT48Q2l0ZT48QXV0aG9yPk5lbHNvbjwvQXV0aG9yPjxZZWFyPjIwMjA8L1llYXI+PElEVGV4
dD5TY2hvb2xz4oCZPC9JRFRleHQ+PHJlY29yZD48Y29udHJpYnV0b3JzPjx0ZXJ0aWFyeS1hdXRo
b3JzPjxhdXRob3I+TmF0aW9uYWw8L2F1dGhvcj48YXV0aG9yPkZvdW5kYXRpb24gZm9yIEVkdWNh
dGlvbmFsIFJlc2VhcmNoIFtORkVSXTwvYXV0aG9yPjwvdGVydGlhcnktYXV0aG9ycz48L2NvbnRy
aWJ1dG9ycz48dXJscz48cmVsYXRlZC11cmxzPjx1cmw+aHR0cHM6Ly93d3cubmZlci5hYy51ay9z
Y2hvb2xzLXJlc3BvbnNlcy10by1jb3ZpZC0xOS1rZXktZmluZGluZ3MtZnJvbS10aGUtd2F2ZS0x
LXN1cnZleS88L3VybD48L3JlbGF0ZWQtdXJscz48L3VybHM+PHRpdGxlcz48dGl0bGU+U2Nob29s
c+KAmSYjeEE7cmVzcG9uc2VzIHRvIENvdmlkLTE5IDogS2V5IGZpbmRpbmdzIGZyb20gdGhlIFdh
dmUgMSBTdXJ2ZXk8L3RpdGxlPjwvdGl0bGVzPjxjb250cmlidXRvcnM+PGF1dGhvcnM+PGF1dGhv
cj5OZWxzb24sPC9hdXRob3I+PGF1dGhvcj5KPC9hdXRob3I+PGF1dGhvcj5TaGFycCwgQzwvYXV0
aG9yPjwvYXV0aG9ycz48L2NvbnRyaWJ1dG9ycz48YWRkZWQtZGF0ZSBmb3JtYXQ9InV0YyI+MTYz
MzI4OTE0NDwvYWRkZWQtZGF0ZT48cmVmLXR5cGUgbmFtZT0iUmVwb3J0Ij4yNzwvcmVmLXR5cGU+
PGRhdGVzPjx5ZWFyPjIwMjA8L3llYXI+PC9kYXRlcz48cmVjLW51bWJlcj4zMDg8L3JlYy1udW1i
ZXI+PGxhc3QtdXBkYXRlZC1kYXRlIGZvcm1hdD0idXRjIj4xNjMzMjg5NzA5PC9sYXN0LXVwZGF0
ZWQtZGF0ZT48L3JlY29yZD48L0NpdGU+PENpdGU+PEF1dGhvcj5HcmVlbjwvQXV0aG9yPjxZZWFy
PjIwMjA8L1llYXI+PElEVGV4dD5TY2hvb2x3b3JrPC9JRFRleHQ+PHJlY29yZD48Y29udHJpYnV0
b3JzPjx0ZXJ0aWFyeS1hdXRob3JzPjxhdXRob3I+Q2VudHJlPC9hdXRob3I+PGF1dGhvcj5mb3Ig
TGVhcm5pbmcgYW5kIExpZmUgQ2hhbmNlcyBpbiBLbm93bGVkZ2UgRWNvbm9taWVzIGFuZCBTb2Np
ZXRpZXMgKExMQWtlcyk8L2F1dGhvcj48L3RlcnRpYXJ5LWF1dGhvcnM+PC9jb250cmlidXRvcnM+
PHVybHM+PHJlbGF0ZWQtdXJscz48dXJsPmh0dHBzOi8vd3d3LmxsYWtlcy5hYy51ay9zaXRlcy9k
ZWZhdWx0L2ZpbGVzL0xMQUtFUyUyMFdvcmtpbmclMjBQYXBlciUyMDY3XzAucGRmPC91cmw+PC9y
ZWxhdGVkLXVybHM+PC91cmxzPjx0aXRsZXM+PHRpdGxlPlNjaG9vbHdvcmsmI3hBO2luIGxvY2tk
b3duOiBuZXcgZXZpZGVuY2Ugb24gdGhlIGVwaWRlbWljIG9mIGVkdWNhdGlvbmFsIHBvdmVydHku
PC90aXRsZT48L3RpdGxlcz48Y29udHJpYnV0b3JzPjxhdXRob3JzPjxhdXRob3I+R3JlZW4sIEY8
L2F1dGhvcj48L2F1dGhvcnM+PC9jb250cmlidXRvcnM+PGFkZGVkLWRhdGUgZm9ybWF0PSJ1dGMi
PjE2MzMyODk3Mzg8L2FkZGVkLWRhdGU+PHJlZi10eXBlIG5hbWU9IlJlcG9ydCI+Mjc8L3JlZi10
eXBlPjxkYXRlcz48eWVhcj4yMDIwPC95ZWFyPjwvZGF0ZXM+PHJlYy1udW1iZXI+MzA5PC9yZWMt
bnVtYmVyPjxsYXN0LXVwZGF0ZWQtZGF0ZSBmb3JtYXQ9InV0YyI+MTYzMzI4OTc4NDwvbGFzdC11
cGRhdGVkLWRhdGU+PC9yZWNvcmQ+PC9DaXRlPjxDaXRlPjxBdXRob3I+Q2F0dGFuPC9BdXRob3I+
PFllYXI+MjAyMTwvWWVhcj48SURUZXh0PkluZXF1YWxpdGllczwvSURUZXh0PjxyZWNvcmQ+PGNv
bnRyaWJ1dG9ycz48dGVydGlhcnktYXV0aG9ycz48YXV0aG9yPkluc3RpdHV0ZTwvYXV0aG9yPjxh
dXRob3I+Zm9yIEZpc2NhbCBTdHVkaWVzPC9hdXRob3I+PC90ZXJ0aWFyeS1hdXRob3JzPjwvY29u
dHJpYnV0b3JzPjx1cmxzPjxyZWxhdGVkLXVybHM+PHVybD5odHRwczovL2RvaS5vcmcvMTAuMTky
MC93cC5pZnMuMjAyMS40MjE8L3VybD48L3JlbGF0ZWQtdXJscz48L3VybHM+PHRpdGxlcz48dGl0
bGU+SW5lcXVhbGl0aWVzJiN4QTtpbiByZXNwb25zZXMgdG8gc2Nob29sIGNsb3N1cmVzIG92ZXIg
dGhlIGNvdXJzZSBvZiB0aGUgZmlyc3QgQ292aWQtMTkgbG9ja2Rvd24mI3hBOyhJRlMgd29ya2lu
ZyBwYXBlciBXMjEvNCkuPC90aXRsZT48L3RpdGxlcz48Y29udHJpYnV0b3JzPjxhdXRob3JzPjxh
dXRob3I+Q2F0dGFuLDwvYXV0aG9yPjxhdXRob3I+UzwvYXV0aG9yPjxhdXRob3I+RmFycXVoYXJz
b24sIEM8L2F1dGhvcj48YXV0aG9yPkt1cnRpa292YSwgUzwvYXV0aG9yPjxhdXRob3I+UGhpbWlz
dGVyLCBBPC9hdXRob3I+PGF1dGhvcj5TYWxpYnVyeSwgQTwvYXV0aG9yPjxhdXRob3I+U2V2aWxs
YSwgQTwvYXV0aG9yPjwvYXV0aG9ycz48L2NvbnRyaWJ1dG9ycz48YWRkZWQtZGF0ZSBmb3JtYXQ9
InV0YyI+MTYzMzI4OTgzNDwvYWRkZWQtZGF0ZT48cmVmLXR5cGUgbmFtZT0iUmVwb3J0Ij4yNzwv
cmVmLXR5cGU+PGRhdGVzPjx5ZWFyPjIwMjE8L3llYXI+PC9kYXRlcz48cmVjLW51bWJlcj4zMTA8
L3JlYy1udW1iZXI+PGxhc3QtdXBkYXRlZC1kYXRlIGZvcm1hdD0idXRjIj4xNjMzMjg5ODg4PC9s
YXN0LXVwZGF0ZWQtZGF0ZT48L3JlY29yZD48L0NpdGU+PENpdGU+PEF1dGhvcj5Nb250YWN1dGU8
L0F1dGhvcj48WWVhcj4yMDIxPC9ZZWFyPjxJRFRleHQ+TGVhcm5pbmc8L0lEVGV4dD48cmVjb3Jk
Pjxjb250cmlidXRvcnM+PHRlcnRpYXJ5LWF1dGhvcnM+PGF1dGhvcj5UaGU8L2F1dGhvcj48YXV0
aG9yPlN1dHRvbiBUcnVzdDwvYXV0aG9yPjwvdGVydGlhcnktYXV0aG9ycz48L2NvbnRyaWJ1dG9y
cz48dXJscz48cmVsYXRlZC11cmxzPjx1cmw+aHR0cHM6Ly93d3cuc3V0dG9udHJ1c3QuY29tL3dw
LWNvbnRlbnQvdXBsb2Fkcy8yMDIxLzAxL0xlYXJuaW5nLWluLUxvY2tkb3duLnBkZjwvdXJsPjwv
cmVsYXRlZC11cmxzPjwvdXJscz48dGl0bGVzPjx0aXRsZT5MZWFybmluZyYjeEE7aW4gbG9ja2Rv
d246IFJlc2VhcmNoIGJyaWVmPC90aXRsZT48L3RpdGxlcz48Y29udHJpYnV0b3JzPjxhdXRob3Jz
PjxhdXRob3I+TW9udGFjdXRlLDwvYXV0aG9yPjxhdXRob3I+UjwvYXV0aG9yPjxhdXRob3I+Q3Vs
bGluYW5lLCBDPC9hdXRob3I+PC9hdXRob3JzPjwvY29udHJpYnV0b3JzPjxhZGRlZC1kYXRlIGZv
cm1hdD0idXRjIj4xNjMzMjg5OTIxPC9hZGRlZC1kYXRlPjxyZWYtdHlwZSBuYW1lPSJSZXBvcnQi
PjI3PC9yZWYtdHlwZT48ZGF0ZXM+PHllYXI+MjAyMTwveWVhcj48L2RhdGVzPjxyZWMtbnVtYmVy
PjMxMTwvcmVjLW51bWJlcj48bGFzdC11cGRhdGVkLWRhdGUgZm9ybWF0PSJ1dGMiPjE2MzMyODk5
NjY8L2xhc3QtdXBkYXRlZC1kYXRlPjwvcmVjb3JkPjwvQ2l0ZT48L0VuZE5vdGU+AG==
</w:fldData>
        </w:fldChar>
      </w:r>
      <w:r w:rsidR="00FA5363">
        <w:rPr>
          <w:rFonts w:cs="Arial"/>
        </w:rPr>
        <w:instrText xml:space="preserve"> ADDIN EN.CITE.DATA </w:instrText>
      </w:r>
      <w:r w:rsidR="00FA5363">
        <w:rPr>
          <w:rFonts w:cs="Arial"/>
        </w:rPr>
      </w:r>
      <w:r w:rsidR="00FA5363">
        <w:rPr>
          <w:rFonts w:cs="Arial"/>
        </w:rPr>
        <w:fldChar w:fldCharType="end"/>
      </w:r>
      <w:r w:rsidR="00EB1673">
        <w:rPr>
          <w:rFonts w:cs="Arial"/>
        </w:rPr>
      </w:r>
      <w:r w:rsidR="00EB1673">
        <w:rPr>
          <w:rFonts w:cs="Arial"/>
        </w:rPr>
        <w:fldChar w:fldCharType="separate"/>
      </w:r>
      <w:r w:rsidR="00FA5363">
        <w:rPr>
          <w:rFonts w:cs="Arial"/>
          <w:noProof/>
        </w:rPr>
        <w:t>[28-33]</w:t>
      </w:r>
      <w:r w:rsidR="00EB1673">
        <w:rPr>
          <w:rFonts w:cs="Arial"/>
        </w:rPr>
        <w:fldChar w:fldCharType="end"/>
      </w:r>
      <w:r w:rsidR="00D70641" w:rsidRPr="006279EB">
        <w:rPr>
          <w:rFonts w:cs="Arial"/>
        </w:rPr>
        <w:t xml:space="preserve">  Data on digital divide was available from Ofcom.</w:t>
      </w:r>
      <w:r w:rsidR="0013257E">
        <w:rPr>
          <w:rFonts w:cs="Arial"/>
        </w:rPr>
        <w:fldChar w:fldCharType="begin"/>
      </w:r>
      <w:r w:rsidR="00FA5363">
        <w:rPr>
          <w:rFonts w:cs="Arial"/>
        </w:rPr>
        <w:instrText xml:space="preserve"> ADDIN EN.CITE &lt;EndNote&gt;&lt;Cite&gt;&lt;Author&gt;Ofcom&lt;/Author&gt;&lt;DisplayText&gt;[34]&lt;/DisplayText&gt;&lt;record&gt;&lt;urls&gt;&lt;related-urls&gt;&lt;url&gt;https://www.ofcom.org.uk/__data/assets/pdf_file/0037/194878/technology-tracker-2020-uk-data-tables.pdf&lt;/url&gt;&lt;/related-urls&gt;&lt;/urls&gt;&lt;contributors&gt;&lt;authors&gt;&lt;author&gt;Ofcom&lt;/author&gt;&lt;/authors&gt;&lt;/contributors&gt;&lt;added-date format="utc"&gt;1633290195&lt;/added-date&gt;&lt;ref-type name="Web Page"&gt;12&lt;/ref-type&gt;&lt;rec-number&gt;313&lt;/rec-number&gt;&lt;last-updated-date format="utc"&gt;1633290223&lt;/last-updated-date&gt;&lt;/record&gt;&lt;/Cite&gt;&lt;/EndNote&gt;</w:instrText>
      </w:r>
      <w:r w:rsidR="0013257E">
        <w:rPr>
          <w:rFonts w:cs="Arial"/>
        </w:rPr>
        <w:fldChar w:fldCharType="separate"/>
      </w:r>
      <w:r w:rsidR="00FA5363">
        <w:rPr>
          <w:rFonts w:cs="Arial"/>
          <w:noProof/>
        </w:rPr>
        <w:t>[34]</w:t>
      </w:r>
      <w:r w:rsidR="0013257E">
        <w:rPr>
          <w:rFonts w:cs="Arial"/>
        </w:rPr>
        <w:fldChar w:fldCharType="end"/>
      </w:r>
      <w:r w:rsidR="00D70641" w:rsidRPr="006279EB">
        <w:rPr>
          <w:rFonts w:cs="Arial"/>
        </w:rPr>
        <w:t xml:space="preserve"> Ofsted</w:t>
      </w:r>
      <w:r w:rsidR="0013257E">
        <w:rPr>
          <w:rFonts w:cs="Arial"/>
        </w:rPr>
        <w:t xml:space="preserve"> </w:t>
      </w:r>
      <w:r w:rsidR="00D70641" w:rsidRPr="006279EB">
        <w:rPr>
          <w:rFonts w:cs="Arial"/>
        </w:rPr>
        <w:t xml:space="preserve">and ONS had additional publications that reviewed the overall data and highlighted the impact of </w:t>
      </w:r>
      <w:r w:rsidR="005002C2">
        <w:rPr>
          <w:rFonts w:cs="Arial"/>
        </w:rPr>
        <w:t xml:space="preserve">the </w:t>
      </w:r>
      <w:r w:rsidR="00D70641" w:rsidRPr="006279EB">
        <w:rPr>
          <w:rFonts w:cs="Arial"/>
        </w:rPr>
        <w:t>pandemic on education.</w:t>
      </w:r>
      <w:r w:rsidR="0013257E">
        <w:rPr>
          <w:rFonts w:cs="Arial"/>
        </w:rPr>
        <w:fldChar w:fldCharType="begin"/>
      </w:r>
      <w:r w:rsidR="00FA5363">
        <w:rPr>
          <w:rFonts w:cs="Arial"/>
        </w:rPr>
        <w:instrText xml:space="preserve"> ADDIN EN.CITE &lt;EndNote&gt;&lt;Cite&gt;&lt;Author&gt;Ofsted&lt;/Author&gt;&lt;IDText&gt;What’s&lt;/IDText&gt;&lt;DisplayText&gt;[35-37]&lt;/DisplayText&gt;&lt;record&gt;&lt;urls&gt;&lt;related-urls&gt;&lt;url&gt;https://www.gov.uk/government/publications/whats-working-well-in-remote-education/whats-working-well-in-remote-education&lt;/url&gt;&lt;/related-urls&gt;&lt;/urls&gt;&lt;titles&gt;&lt;title&gt;What’s&amp;#xA;working well in remote education. &lt;/title&gt;&lt;/titles&gt;&lt;contributors&gt;&lt;authors&gt;&lt;author&gt;Ofsted&lt;/author&gt;&lt;/authors&gt;&lt;/contributors&gt;&lt;added-date format="utc"&gt;1633290251&lt;/added-date&gt;&lt;ref-type name="Report"&gt;27&lt;/ref-type&gt;&lt;rec-number&gt;314&lt;/rec-number&gt;&lt;last-updated-date format="utc"&gt;1633290288&lt;/last-updated-date&gt;&lt;/record&gt;&lt;/Cite&gt;&lt;Cite&gt;&lt;Author&gt;Ofsted&lt;/Author&gt;&lt;Year&gt;2021&lt;/Year&gt;&lt;IDText&gt;Remote&lt;/IDText&gt;&lt;record&gt;&lt;urls&gt;&lt;related-urls&gt;&lt;url&gt;https://www.gov.uk/government/publications/remote-education-research/remote-education-research&lt;/url&gt;&lt;/related-urls&gt;&lt;/urls&gt;&lt;titles&gt;&lt;title&gt;Remote&amp;#xA;education research&lt;/title&gt;&lt;/titles&gt;&lt;contributors&gt;&lt;authors&gt;&lt;author&gt;Ofsted&lt;/author&gt;&lt;/authors&gt;&lt;/contributors&gt;&lt;added-date format="utc"&gt;1633290307&lt;/added-date&gt;&lt;ref-type name="Report"&gt;27&lt;/ref-type&gt;&lt;dates&gt;&lt;year&gt;2021&lt;/year&gt;&lt;/dates&gt;&lt;rec-number&gt;315&lt;/rec-number&gt;&lt;last-updated-date format="utc"&gt;1633290329&lt;/last-updated-date&gt;&lt;/record&gt;&lt;/Cite&gt;&lt;Cite&gt;&lt;Author&gt;Office&lt;/Author&gt;&lt;Year&gt;2020&lt;/Year&gt;&lt;IDText&gt;Coronavirus&lt;/IDText&gt;&lt;record&gt;&lt;urls&gt;&lt;related-urls&gt;&lt;url&gt;https://www.ons.gov.uk/peoplepopulationandcommunity/educationandchildcare/articles/coronavirusandhomeschoolingingreatbritain/apriltojune2020&lt;/url&gt;&lt;/related-urls&gt;&lt;/urls&gt;&lt;titles&gt;&lt;title&gt;Coronavirus&amp;#xA;and home schooling in Great Britain: April to June 2020. &lt;/title&gt;&lt;/titles&gt;&lt;contributors&gt;&lt;authors&gt;&lt;author&gt;Office&lt;/author&gt;&lt;author&gt;for National Statistics (ONS)&lt;/author&gt;&lt;/authors&gt;&lt;/contributors&gt;&lt;added-date format="utc"&gt;1633290364&lt;/added-date&gt;&lt;ref-type name="Dataset"&gt;59&lt;/ref-type&gt;&lt;dates&gt;&lt;year&gt;2020&lt;/year&gt;&lt;/dates&gt;&lt;rec-number&gt;316&lt;/rec-number&gt;&lt;last-updated-date format="utc"&gt;1633290391&lt;/last-updated-date&gt;&lt;/record&gt;&lt;/Cite&gt;&lt;/EndNote&gt;</w:instrText>
      </w:r>
      <w:r w:rsidR="0013257E">
        <w:rPr>
          <w:rFonts w:cs="Arial"/>
        </w:rPr>
        <w:fldChar w:fldCharType="separate"/>
      </w:r>
      <w:r w:rsidR="00FA5363">
        <w:rPr>
          <w:rFonts w:cs="Arial"/>
          <w:noProof/>
        </w:rPr>
        <w:t>[35-37]</w:t>
      </w:r>
      <w:r w:rsidR="0013257E">
        <w:rPr>
          <w:rFonts w:cs="Arial"/>
        </w:rPr>
        <w:fldChar w:fldCharType="end"/>
      </w:r>
      <w:r w:rsidR="00D70641" w:rsidRPr="006279EB">
        <w:t xml:space="preserve"> These studies have reviewed access to devices and investigated parental support and access to adequate learning spaces. These reports provide evidence of a digital divide</w:t>
      </w:r>
      <w:r w:rsidR="00B54CF8">
        <w:t xml:space="preserve">. </w:t>
      </w:r>
      <w:r w:rsidR="00D70641" w:rsidRPr="006279EB">
        <w:t xml:space="preserve"> </w:t>
      </w:r>
      <w:r w:rsidR="00B54CF8">
        <w:t>C</w:t>
      </w:r>
      <w:r w:rsidR="00D70641" w:rsidRPr="006279EB">
        <w:t xml:space="preserve">hildren who are digitally excluded </w:t>
      </w:r>
      <w:r w:rsidR="00B54CF8">
        <w:t>due to lack</w:t>
      </w:r>
      <w:r w:rsidR="00D70641" w:rsidRPr="006279EB">
        <w:t xml:space="preserve"> of access to devices are also more likely to have more limited digital skills. There was evidence of the impact of parental and teacher factors, such as </w:t>
      </w:r>
      <w:r w:rsidR="00D70641" w:rsidRPr="00AF2081">
        <w:rPr>
          <w:shd w:val="clear" w:color="auto" w:fill="FFFFFF"/>
        </w:rPr>
        <w:t xml:space="preserve">parental engagement and both teacher and parent skills. </w:t>
      </w:r>
    </w:p>
    <w:p w14:paraId="5AFA8C7E" w14:textId="4A3D3146" w:rsidR="00E533AF" w:rsidRDefault="00D70641" w:rsidP="00E533AF">
      <w:pPr>
        <w:rPr>
          <w:rFonts w:cstheme="minorBidi"/>
          <w:b/>
          <w:bCs/>
          <w:color w:val="auto"/>
        </w:rPr>
      </w:pPr>
      <w:r w:rsidRPr="00AF2081">
        <w:rPr>
          <w:shd w:val="clear" w:color="auto" w:fill="FFFFFF"/>
        </w:rPr>
        <w:t xml:space="preserve">The </w:t>
      </w:r>
      <w:r w:rsidR="0013257E" w:rsidRPr="00AF2081">
        <w:rPr>
          <w:shd w:val="clear" w:color="auto" w:fill="FFFFFF"/>
        </w:rPr>
        <w:t>retail</w:t>
      </w:r>
      <w:r w:rsidRPr="00AF2081">
        <w:rPr>
          <w:shd w:val="clear" w:color="auto" w:fill="FFFFFF"/>
        </w:rPr>
        <w:t xml:space="preserve"> sector</w:t>
      </w:r>
      <w:r w:rsidR="0013257E" w:rsidRPr="00AF2081">
        <w:rPr>
          <w:shd w:val="clear" w:color="auto" w:fill="FFFFFF"/>
        </w:rPr>
        <w:t xml:space="preserve"> has</w:t>
      </w:r>
      <w:r w:rsidRPr="00AF2081">
        <w:rPr>
          <w:shd w:val="clear" w:color="auto" w:fill="FFFFFF"/>
        </w:rPr>
        <w:t xml:space="preserve"> used data to review and reduce the impact of the pandemic on these sectors and</w:t>
      </w:r>
      <w:r w:rsidRPr="006279EB">
        <w:rPr>
          <w:rFonts w:cs="Arial"/>
        </w:rPr>
        <w:t xml:space="preserve"> to find new ways of working.</w:t>
      </w:r>
      <w:r w:rsidR="0013257E">
        <w:rPr>
          <w:rFonts w:cs="Arial"/>
        </w:rPr>
        <w:fldChar w:fldCharType="begin"/>
      </w:r>
      <w:r w:rsidR="00FA5363">
        <w:rPr>
          <w:rFonts w:cs="Arial"/>
        </w:rPr>
        <w:instrText xml:space="preserve"> ADDIN EN.CITE &lt;EndNote&gt;&lt;Cite&gt;&lt;Author&gt;Office&lt;/Author&gt;&lt;Year&gt;2020&lt;/Year&gt;&lt;IDText&gt;Internet sales as a percentage of total retail sales (ratio) (%)&lt;/IDText&gt;&lt;DisplayText&gt;[38]&lt;/DisplayText&gt;&lt;record&gt;&lt;urls&gt;&lt;related-urls&gt;&lt;url&gt;https://www.ons.gov.uk/businessindustryandtrade/retailindustry/timeseries/j4mc/drsi&lt;/url&gt;&lt;/related-urls&gt;&lt;/urls&gt;&lt;titles&gt;&lt;title&gt;Internet sales as a percentage of total retail sales (ratio) (%)&lt;/title&gt;&lt;/titles&gt;&lt;contributors&gt;&lt;authors&gt;&lt;author&gt;Office for national Statistics (ONS)&lt;/author&gt;&lt;/authors&gt;&lt;/contributors&gt;&lt;added-date format="utc"&gt;1633290451&lt;/added-date&gt;&lt;ref-type name="Dataset"&gt;59&lt;/ref-type&gt;&lt;dates&gt;&lt;year&gt;2020&lt;/year&gt;&lt;/dates&gt;&lt;rec-number&gt;317&lt;/rec-number&gt;&lt;last-updated-date format="utc"&gt;1633290554&lt;/last-updated-date&gt;&lt;/record&gt;&lt;/Cite&gt;&lt;/EndNote&gt;</w:instrText>
      </w:r>
      <w:r w:rsidR="0013257E">
        <w:rPr>
          <w:rFonts w:cs="Arial"/>
        </w:rPr>
        <w:fldChar w:fldCharType="separate"/>
      </w:r>
      <w:r w:rsidR="00FA5363">
        <w:rPr>
          <w:rFonts w:cs="Arial"/>
          <w:noProof/>
        </w:rPr>
        <w:t>[38]</w:t>
      </w:r>
      <w:r w:rsidR="0013257E">
        <w:rPr>
          <w:rFonts w:cs="Arial"/>
        </w:rPr>
        <w:fldChar w:fldCharType="end"/>
      </w:r>
      <w:r w:rsidRPr="006279EB">
        <w:rPr>
          <w:rFonts w:cs="Arial"/>
        </w:rPr>
        <w:t xml:space="preserve"> </w:t>
      </w:r>
      <w:r w:rsidR="00B54CF8">
        <w:rPr>
          <w:rFonts w:cs="Arial"/>
        </w:rPr>
        <w:t xml:space="preserve">The </w:t>
      </w:r>
      <w:r w:rsidRPr="006279EB">
        <w:rPr>
          <w:rFonts w:cs="Arial"/>
        </w:rPr>
        <w:t xml:space="preserve">NHS is well placed as an organisation to collate and review data. </w:t>
      </w:r>
      <w:r w:rsidR="0013257E">
        <w:rPr>
          <w:rFonts w:cs="Arial"/>
        </w:rPr>
        <w:t>But as identified in the recently published ICS report the data exists in siloes</w:t>
      </w:r>
      <w:r w:rsidR="00AF2081">
        <w:rPr>
          <w:rFonts w:cs="Arial"/>
        </w:rPr>
        <w:t xml:space="preserve"> and</w:t>
      </w:r>
      <w:r w:rsidR="0013257E">
        <w:rPr>
          <w:rFonts w:cs="Arial"/>
        </w:rPr>
        <w:t xml:space="preserve"> is not easy to link at a patient level. </w:t>
      </w:r>
      <w:r w:rsidR="00E533AF">
        <w:rPr>
          <w:rFonts w:cs="Arial"/>
        </w:rPr>
        <w:t>This was supported by findings f</w:t>
      </w:r>
      <w:r w:rsidR="00AF2081">
        <w:rPr>
          <w:rFonts w:cs="Arial"/>
        </w:rPr>
        <w:t>rom</w:t>
      </w:r>
      <w:r w:rsidR="00E533AF">
        <w:rPr>
          <w:rFonts w:cs="Arial"/>
        </w:rPr>
        <w:t xml:space="preserve"> the </w:t>
      </w:r>
      <w:r w:rsidR="00E533AF" w:rsidRPr="00E533AF">
        <w:rPr>
          <w:lang w:val="en-US"/>
        </w:rPr>
        <w:t xml:space="preserve">Summary of the </w:t>
      </w:r>
      <w:r w:rsidR="00E533AF" w:rsidRPr="00E533AF">
        <w:t>Remote Consultations and ‘Digital Exclusion’ during the COVID</w:t>
      </w:r>
      <w:r w:rsidR="00AF2081">
        <w:t>-</w:t>
      </w:r>
      <w:r w:rsidR="00E533AF" w:rsidRPr="00E533AF">
        <w:t>19 Pandemic ‘Integrated Care System’ (ICS) Summary Report</w:t>
      </w:r>
      <w:r w:rsidR="00E533AF">
        <w:t>.</w:t>
      </w:r>
    </w:p>
    <w:p w14:paraId="2FDBD392" w14:textId="5DB5ADD6" w:rsidR="0013257E" w:rsidRPr="00AF2081" w:rsidRDefault="0013257E" w:rsidP="00AF2081">
      <w:pPr>
        <w:rPr>
          <w:shd w:val="clear" w:color="auto" w:fill="FFFFFF"/>
        </w:rPr>
      </w:pPr>
      <w:r>
        <w:rPr>
          <w:rFonts w:cs="Arial"/>
        </w:rPr>
        <w:t xml:space="preserve">This means it is not possible to identify and target those at risk of digital exclusion, </w:t>
      </w:r>
      <w:r w:rsidR="00C3363D">
        <w:rPr>
          <w:rFonts w:cs="Arial"/>
        </w:rPr>
        <w:t>i.e.</w:t>
      </w:r>
      <w:r>
        <w:rPr>
          <w:rFonts w:cs="Arial"/>
        </w:rPr>
        <w:t xml:space="preserve"> those </w:t>
      </w:r>
      <w:r w:rsidR="00C3363D">
        <w:rPr>
          <w:rFonts w:cs="Arial"/>
        </w:rPr>
        <w:t>who</w:t>
      </w:r>
      <w:r>
        <w:rPr>
          <w:rFonts w:cs="Arial"/>
        </w:rPr>
        <w:t xml:space="preserve"> are </w:t>
      </w:r>
      <w:r w:rsidRPr="00AF2081">
        <w:rPr>
          <w:shd w:val="clear" w:color="auto" w:fill="FFFFFF"/>
        </w:rPr>
        <w:t>most likely to have been disproportionate</w:t>
      </w:r>
      <w:r w:rsidR="005002C2" w:rsidRPr="00AF2081">
        <w:rPr>
          <w:shd w:val="clear" w:color="auto" w:fill="FFFFFF"/>
        </w:rPr>
        <w:t>ly</w:t>
      </w:r>
      <w:r w:rsidRPr="00AF2081">
        <w:rPr>
          <w:shd w:val="clear" w:color="auto" w:fill="FFFFFF"/>
        </w:rPr>
        <w:t xml:space="preserve"> impacted by the pandemic.</w:t>
      </w:r>
    </w:p>
    <w:p w14:paraId="2B8F6718" w14:textId="4E92092F" w:rsidR="00AF2081" w:rsidRDefault="00D70641" w:rsidP="00AF2081">
      <w:pPr>
        <w:rPr>
          <w:color w:val="auto"/>
          <w:shd w:val="clear" w:color="auto" w:fill="FFFFFF"/>
        </w:rPr>
      </w:pPr>
      <w:r w:rsidRPr="00AF2081">
        <w:rPr>
          <w:shd w:val="clear" w:color="auto" w:fill="FFFFFF"/>
        </w:rPr>
        <w:t xml:space="preserve">One of the aims of NHS </w:t>
      </w:r>
      <w:r w:rsidR="00AF2081">
        <w:rPr>
          <w:shd w:val="clear" w:color="auto" w:fill="FFFFFF"/>
        </w:rPr>
        <w:t>D</w:t>
      </w:r>
      <w:r w:rsidRPr="00AF2081">
        <w:rPr>
          <w:shd w:val="clear" w:color="auto" w:fill="FFFFFF"/>
        </w:rPr>
        <w:t>igital is to use data to improve understanding of health problems, support</w:t>
      </w:r>
      <w:r w:rsidRPr="006279EB">
        <w:rPr>
          <w:rFonts w:cs="Arial"/>
        </w:rPr>
        <w:t xml:space="preserve"> research, and improve the working of the NHS. The available datasets should be used in conjunction with the data held by social care and Ofcom to review the population data on digital inequalities to help address this in the future</w:t>
      </w:r>
      <w:r w:rsidR="00A834F9">
        <w:rPr>
          <w:rFonts w:cs="Arial"/>
        </w:rPr>
        <w:t>.</w:t>
      </w:r>
    </w:p>
    <w:p w14:paraId="537723C5" w14:textId="77777777" w:rsidR="00A834F9" w:rsidRDefault="00A834F9" w:rsidP="00AF2081">
      <w:pPr>
        <w:rPr>
          <w:color w:val="auto"/>
          <w:shd w:val="clear" w:color="auto" w:fill="FFFFFF"/>
        </w:rPr>
      </w:pPr>
    </w:p>
    <w:p w14:paraId="6AABF985" w14:textId="77777777" w:rsidR="00756BA5" w:rsidRPr="00756BA5" w:rsidRDefault="00756BA5" w:rsidP="00756BA5">
      <w:pPr>
        <w:pStyle w:val="ListParagraph"/>
        <w:widowControl/>
        <w:numPr>
          <w:ilvl w:val="0"/>
          <w:numId w:val="21"/>
        </w:numPr>
        <w:autoSpaceDE/>
        <w:autoSpaceDN/>
        <w:adjustRightInd/>
        <w:spacing w:after="160"/>
        <w:rPr>
          <w:b/>
        </w:rPr>
      </w:pPr>
      <w:r w:rsidRPr="00756BA5">
        <w:rPr>
          <w:b/>
        </w:rPr>
        <w:t>How could we identify those most likely to have been excluded- i.e. those in most need going forward?</w:t>
      </w:r>
    </w:p>
    <w:p w14:paraId="54448528" w14:textId="1CA41249" w:rsidR="001233D4" w:rsidRDefault="001233D4" w:rsidP="001233D4">
      <w:pPr>
        <w:rPr>
          <w:rFonts w:cstheme="minorBidi"/>
          <w:color w:val="auto"/>
          <w:shd w:val="clear" w:color="auto" w:fill="FFFFFF"/>
        </w:rPr>
      </w:pPr>
      <w:r>
        <w:rPr>
          <w:shd w:val="clear" w:color="auto" w:fill="FFFFFF"/>
        </w:rPr>
        <w:t>The literature revealed that there have been multiple frameworks developed across the world to model the social determinants of health (SDOH). Dover and Belon (2019) looked to address some of the gaps in these frameworks by developing a Health Equity Measurement Framework (HEMF) which they felt gave a more encompassing view of the multitude of SDOH, including the drivers of health service utilisation. They envisioned this to be able then to be used to guide quantitative analysis for public health surveillance and policy development.</w:t>
      </w:r>
      <w:r w:rsidR="00D04DE7">
        <w:rPr>
          <w:shd w:val="clear" w:color="auto" w:fill="FFFFFF"/>
        </w:rPr>
        <w:fldChar w:fldCharType="begin">
          <w:fldData xml:space="preserve">PEVuZE5vdGU+PENpdGU+PEF1dGhvcj5Eb3ZlcjwvQXV0aG9yPjxZZWFyPjIwMTk8L1llYXI+PElE
VGV4dD5UaGUgaGVhbHRoIGVxdWl0eSBtZWFzdXJlbWVudCBmcmFtZXdvcms6IGEgY29tcHJlaGVu
c2l2ZSBtb2RlbCB0byBtZWFzdXJlIHNvY2lhbCBpbmVxdWl0aWVzIGluIGhlYWx0aDwvSURUZXh0
PjxEaXNwbGF5VGV4dD5bMzldPC9EaXNwbGF5VGV4dD48cmVjb3JkPjxkYXRlcz48cHViLWRhdGVz
PjxkYXRlPkZlYiAxOTwvZGF0ZT48L3B1Yi1kYXRlcz48eWVhcj4yMDE5PC95ZWFyPjwvZGF0ZXM+
PGtleXdvcmRzPjxrZXl3b3JkPkdsb2JhbCBIZWFsdGg8L2tleXdvcmQ+PGtleXdvcmQ+SGVhbHRo
IEVxdWl0eS8qc3RhdGlzdGljcyAmYW1wOyBudW1lcmljYWwgZGF0YTwva2V5d29yZD48a2V5d29y
ZD5IZWFsdGggUG9saWN5PC9rZXl3b3JkPjxrZXl3b3JkPipIZWFsdGggU3RhdHVzIERpc3Bhcml0
aWVzPC9rZXl3b3JkPjxrZXl3b3JkPkh1bWFuczwva2V5d29yZD48a2V5d29yZD4qTW9kZWxzLCBT
dGF0aXN0aWNhbDwva2V5d29yZD48a2V5d29yZD5Qb2xpY3kgTWFraW5nPC9rZXl3b3JkPjxrZXl3
b3JkPlJldmlldyBMaXRlcmF0dXJlIGFzIFRvcGljPC9rZXl3b3JkPjxrZXl3b3JkPipTb2NpYWwg
RGV0ZXJtaW5hbnRzIG9mIEhlYWx0aDwva2V5d29yZD48a2V5d29yZD5Tb2Npb2Vjb25vbWljIEZh
Y3RvcnM8L2tleXdvcmQ+PGtleXdvcmQ+KkZyYW1ld29yazwva2V5d29yZD48a2V5d29yZD4qSGVh
bHRoIGVxdWl0eTwva2V5d29yZD48a2V5d29yZD4qSGVhbHRoY2FyZTwva2V5d29yZD48a2V5d29y
ZD4qSW5lcXVpdGllczwva2V5d29yZD48a2V5d29yZD4qUHVibGljIGhlYWx0aCBzdXJ2ZWlsbGFu
Y2U8L2tleXdvcmQ+PGtleXdvcmQ+KlNvY2lhbCBkZXRlcm1pbmFudHMgb2YgaGVhbHRoPC9rZXl3
b3JkPjwva2V5d29yZHM+PGlzYm4+MTQ3NS05Mjc2PC9pc2JuPjxjdXN0b20yPlBNQzYzNzk5Mjk8
L2N1c3RvbTI+PGN1c3RvbTE+RVRISUNTIEFQUFJPVkFMIEFORCBDT05TRU5UIFRPIFBBUlRJQ0lQ
QVRFOiBOb3QgYXBwbGljYWJsZS4gQ09OU0VOVCBGT1IgUFVCTElDQVRJT046IE5vdCBhcHBsaWNh
YmxlLiBDT01QRVRJTkcgSU5URVJFU1RTOiBUaGUgYXV0aG9ycyBkZWNsYXJlIHRoYXQgdGhleSBo
YXZlIG5vIGNvbXBldGluZyBpbnRlcmVzdHMuIFBVQkxJU0hFUuKAmVMgTk9URTogU3ByaW5nZXIg
TmF0dXJlIHJlbWFpbnMgbmV1dHJhbCB3aXRoIHJlZ2FyZCB0byBqdXJpc2RpY3Rpb25hbCBjbGFp
bXMgaW4gcHVibGlzaGVkIG1hcHMgYW5kIGluc3RpdHV0aW9uYWwgYWZmaWxpYXRpb25zLjwvY3Vz
dG9tMT48dGl0bGVzPjx0aXRsZT5UaGUgaGVhbHRoIGVxdWl0eSBtZWFzdXJlbWVudCBmcmFtZXdv
cms6IGEgY29tcHJlaGVuc2l2ZSBtb2RlbCB0byBtZWFzdXJlIHNvY2lhbCBpbmVxdWl0aWVzIGlu
IGhlYWx0aDwvdGl0bGU+PHNlY29uZGFyeS10aXRsZT5JbnQgSiBFcXVpdHkgSGVhbHRoPC9zZWNv
bmRhcnktdGl0bGU+PC90aXRsZXM+PHBhZ2VzPjM2PC9wYWdlcz48bnVtYmVyPjE8L251bWJlcj48
Y29udHJpYnV0b3JzPjxhdXRob3JzPjxhdXRob3I+RG92ZXIsIEQuIEMuPC9hdXRob3I+PGF1dGhv
cj5CZWxvbiwgQS4gUC48L2F1dGhvcj48L2F1dGhvcnM+PC9jb250cmlidXRvcnM+PGVkaXRpb24+
MjAxOTAyMTk8L2VkaXRpb24+PGxhbmd1YWdlPmVuZzwvbGFuZ3VhZ2U+PGFkZGVkLWRhdGUgZm9y
bWF0PSJ1dGMiPjE2MzMyOTM4Mjg8L2FkZGVkLWRhdGU+PHJlZi10eXBlIG5hbWU9IkpvdXJuYWwg
QXJ0aWNsZSI+MTc8L3JlZi10eXBlPjxhdXRoLWFkZHJlc3M+QWxiZXJ0YSBIZWFsdGgsIEdvdmVy
bm1lbnQgb2YgQWxiZXJ0YSwgRWRtb250b24sIEFCLCBDYW5hZGEuIGRkb3ZlckB1YWxiZXJ0YS5j
YS4mI3hEO0NvbmNvcmRpYSBVbml2ZXJzaXR5IG9mIEVkbW9udG9uLCBFZG1vbnRvbiwgQUIsIENh
bmFkYS4gZGRvdmVyQHVhbGJlcnRhLmNhLiYjeEQ7U2Nob29sIG9mIFB1YmxpYyBIZWFsdGgsIFVu
aXZlcnNpdHkgb2YgQWxiZXJ0YSwgRWRtb250b24sIEFCLCBDYW5hZGEuPC9hdXRoLWFkZHJlc3M+
PHJlbW90ZS1kYXRhYmFzZS1wcm92aWRlcj5OTE08L3JlbW90ZS1kYXRhYmFzZS1wcm92aWRlcj48
cmVjLW51bWJlcj4zMjE8L3JlYy1udW1iZXI+PGxhc3QtdXBkYXRlZC1kYXRlIGZvcm1hdD0idXRj
Ij4xNjMzMjkzODI4PC9sYXN0LXVwZGF0ZWQtZGF0ZT48YWNjZXNzaW9uLW51bT4zMDc4MjE2MTwv
YWNjZXNzaW9uLW51bT48ZWxlY3Ryb25pYy1yZXNvdXJjZS1udW0+MTAuMTE4Ni9zMTI5MzktMDE5
LTA5MzUtMDwvZWxlY3Ryb25pYy1yZXNvdXJjZS1udW0+PHZvbHVtZT4xODwvdm9sdW1lPjwvcmVj
b3JkPjwvQ2l0ZT48L0VuZE5vdGU+
</w:fldData>
        </w:fldChar>
      </w:r>
      <w:r w:rsidR="00FA5363">
        <w:rPr>
          <w:shd w:val="clear" w:color="auto" w:fill="FFFFFF"/>
        </w:rPr>
        <w:instrText xml:space="preserve"> ADDIN EN.CITE </w:instrText>
      </w:r>
      <w:r w:rsidR="00FA5363">
        <w:rPr>
          <w:shd w:val="clear" w:color="auto" w:fill="FFFFFF"/>
        </w:rPr>
        <w:fldChar w:fldCharType="begin">
          <w:fldData xml:space="preserve">PEVuZE5vdGU+PENpdGU+PEF1dGhvcj5Eb3ZlcjwvQXV0aG9yPjxZZWFyPjIwMTk8L1llYXI+PElE
VGV4dD5UaGUgaGVhbHRoIGVxdWl0eSBtZWFzdXJlbWVudCBmcmFtZXdvcms6IGEgY29tcHJlaGVu
c2l2ZSBtb2RlbCB0byBtZWFzdXJlIHNvY2lhbCBpbmVxdWl0aWVzIGluIGhlYWx0aDwvSURUZXh0
PjxEaXNwbGF5VGV4dD5bMzldPC9EaXNwbGF5VGV4dD48cmVjb3JkPjxkYXRlcz48cHViLWRhdGVz
PjxkYXRlPkZlYiAxOTwvZGF0ZT48L3B1Yi1kYXRlcz48eWVhcj4yMDE5PC95ZWFyPjwvZGF0ZXM+
PGtleXdvcmRzPjxrZXl3b3JkPkdsb2JhbCBIZWFsdGg8L2tleXdvcmQ+PGtleXdvcmQ+SGVhbHRo
IEVxdWl0eS8qc3RhdGlzdGljcyAmYW1wOyBudW1lcmljYWwgZGF0YTwva2V5d29yZD48a2V5d29y
ZD5IZWFsdGggUG9saWN5PC9rZXl3b3JkPjxrZXl3b3JkPipIZWFsdGggU3RhdHVzIERpc3Bhcml0
aWVzPC9rZXl3b3JkPjxrZXl3b3JkPkh1bWFuczwva2V5d29yZD48a2V5d29yZD4qTW9kZWxzLCBT
dGF0aXN0aWNhbDwva2V5d29yZD48a2V5d29yZD5Qb2xpY3kgTWFraW5nPC9rZXl3b3JkPjxrZXl3
b3JkPlJldmlldyBMaXRlcmF0dXJlIGFzIFRvcGljPC9rZXl3b3JkPjxrZXl3b3JkPipTb2NpYWwg
RGV0ZXJtaW5hbnRzIG9mIEhlYWx0aDwva2V5d29yZD48a2V5d29yZD5Tb2Npb2Vjb25vbWljIEZh
Y3RvcnM8L2tleXdvcmQ+PGtleXdvcmQ+KkZyYW1ld29yazwva2V5d29yZD48a2V5d29yZD4qSGVh
bHRoIGVxdWl0eTwva2V5d29yZD48a2V5d29yZD4qSGVhbHRoY2FyZTwva2V5d29yZD48a2V5d29y
ZD4qSW5lcXVpdGllczwva2V5d29yZD48a2V5d29yZD4qUHVibGljIGhlYWx0aCBzdXJ2ZWlsbGFu
Y2U8L2tleXdvcmQ+PGtleXdvcmQ+KlNvY2lhbCBkZXRlcm1pbmFudHMgb2YgaGVhbHRoPC9rZXl3
b3JkPjwva2V5d29yZHM+PGlzYm4+MTQ3NS05Mjc2PC9pc2JuPjxjdXN0b20yPlBNQzYzNzk5Mjk8
L2N1c3RvbTI+PGN1c3RvbTE+RVRISUNTIEFQUFJPVkFMIEFORCBDT05TRU5UIFRPIFBBUlRJQ0lQ
QVRFOiBOb3QgYXBwbGljYWJsZS4gQ09OU0VOVCBGT1IgUFVCTElDQVRJT046IE5vdCBhcHBsaWNh
YmxlLiBDT01QRVRJTkcgSU5URVJFU1RTOiBUaGUgYXV0aG9ycyBkZWNsYXJlIHRoYXQgdGhleSBo
YXZlIG5vIGNvbXBldGluZyBpbnRlcmVzdHMuIFBVQkxJU0hFUuKAmVMgTk9URTogU3ByaW5nZXIg
TmF0dXJlIHJlbWFpbnMgbmV1dHJhbCB3aXRoIHJlZ2FyZCB0byBqdXJpc2RpY3Rpb25hbCBjbGFp
bXMgaW4gcHVibGlzaGVkIG1hcHMgYW5kIGluc3RpdHV0aW9uYWwgYWZmaWxpYXRpb25zLjwvY3Vz
dG9tMT48dGl0bGVzPjx0aXRsZT5UaGUgaGVhbHRoIGVxdWl0eSBtZWFzdXJlbWVudCBmcmFtZXdv
cms6IGEgY29tcHJlaGVuc2l2ZSBtb2RlbCB0byBtZWFzdXJlIHNvY2lhbCBpbmVxdWl0aWVzIGlu
IGhlYWx0aDwvdGl0bGU+PHNlY29uZGFyeS10aXRsZT5JbnQgSiBFcXVpdHkgSGVhbHRoPC9zZWNv
bmRhcnktdGl0bGU+PC90aXRsZXM+PHBhZ2VzPjM2PC9wYWdlcz48bnVtYmVyPjE8L251bWJlcj48
Y29udHJpYnV0b3JzPjxhdXRob3JzPjxhdXRob3I+RG92ZXIsIEQuIEMuPC9hdXRob3I+PGF1dGhv
cj5CZWxvbiwgQS4gUC48L2F1dGhvcj48L2F1dGhvcnM+PC9jb250cmlidXRvcnM+PGVkaXRpb24+
MjAxOTAyMTk8L2VkaXRpb24+PGxhbmd1YWdlPmVuZzwvbGFuZ3VhZ2U+PGFkZGVkLWRhdGUgZm9y
bWF0PSJ1dGMiPjE2MzMyOTM4Mjg8L2FkZGVkLWRhdGU+PHJlZi10eXBlIG5hbWU9IkpvdXJuYWwg
QXJ0aWNsZSI+MTc8L3JlZi10eXBlPjxhdXRoLWFkZHJlc3M+QWxiZXJ0YSBIZWFsdGgsIEdvdmVy
bm1lbnQgb2YgQWxiZXJ0YSwgRWRtb250b24sIEFCLCBDYW5hZGEuIGRkb3ZlckB1YWxiZXJ0YS5j
YS4mI3hEO0NvbmNvcmRpYSBVbml2ZXJzaXR5IG9mIEVkbW9udG9uLCBFZG1vbnRvbiwgQUIsIENh
bmFkYS4gZGRvdmVyQHVhbGJlcnRhLmNhLiYjeEQ7U2Nob29sIG9mIFB1YmxpYyBIZWFsdGgsIFVu
aXZlcnNpdHkgb2YgQWxiZXJ0YSwgRWRtb250b24sIEFCLCBDYW5hZGEuPC9hdXRoLWFkZHJlc3M+
PHJlbW90ZS1kYXRhYmFzZS1wcm92aWRlcj5OTE08L3JlbW90ZS1kYXRhYmFzZS1wcm92aWRlcj48
cmVjLW51bWJlcj4zMjE8L3JlYy1udW1iZXI+PGxhc3QtdXBkYXRlZC1kYXRlIGZvcm1hdD0idXRj
Ij4xNjMzMjkzODI4PC9sYXN0LXVwZGF0ZWQtZGF0ZT48YWNjZXNzaW9uLW51bT4zMDc4MjE2MTwv
YWNjZXNzaW9uLW51bT48ZWxlY3Ryb25pYy1yZXNvdXJjZS1udW0+MTAuMTE4Ni9zMTI5MzktMDE5
LTA5MzUtMDwvZWxlY3Ryb25pYy1yZXNvdXJjZS1udW0+PHZvbHVtZT4xODwvdm9sdW1lPjwvcmVj
b3JkPjwvQ2l0ZT48L0VuZE5vdGU+
</w:fldData>
        </w:fldChar>
      </w:r>
      <w:r w:rsidR="00FA5363">
        <w:rPr>
          <w:shd w:val="clear" w:color="auto" w:fill="FFFFFF"/>
        </w:rPr>
        <w:instrText xml:space="preserve"> ADDIN EN.CITE.DATA </w:instrText>
      </w:r>
      <w:r w:rsidR="00FA5363">
        <w:rPr>
          <w:shd w:val="clear" w:color="auto" w:fill="FFFFFF"/>
        </w:rPr>
      </w:r>
      <w:r w:rsidR="00FA5363">
        <w:rPr>
          <w:shd w:val="clear" w:color="auto" w:fill="FFFFFF"/>
        </w:rPr>
        <w:fldChar w:fldCharType="end"/>
      </w:r>
      <w:r w:rsidR="00D04DE7">
        <w:rPr>
          <w:shd w:val="clear" w:color="auto" w:fill="FFFFFF"/>
        </w:rPr>
      </w:r>
      <w:r w:rsidR="00D04DE7">
        <w:rPr>
          <w:shd w:val="clear" w:color="auto" w:fill="FFFFFF"/>
        </w:rPr>
        <w:fldChar w:fldCharType="separate"/>
      </w:r>
      <w:r w:rsidR="00FA5363">
        <w:rPr>
          <w:noProof/>
          <w:shd w:val="clear" w:color="auto" w:fill="FFFFFF"/>
        </w:rPr>
        <w:t>[39]</w:t>
      </w:r>
      <w:r w:rsidR="00D04DE7">
        <w:rPr>
          <w:shd w:val="clear" w:color="auto" w:fill="FFFFFF"/>
        </w:rPr>
        <w:fldChar w:fldCharType="end"/>
      </w:r>
      <w:r w:rsidR="00110098">
        <w:rPr>
          <w:shd w:val="clear" w:color="auto" w:fill="FFFFFF"/>
        </w:rPr>
        <w:t xml:space="preserve"> </w:t>
      </w:r>
    </w:p>
    <w:p w14:paraId="63B53655" w14:textId="0DA11611" w:rsidR="001233D4" w:rsidRDefault="001233D4" w:rsidP="001233D4">
      <w:pPr>
        <w:rPr>
          <w:shd w:val="clear" w:color="auto" w:fill="FFFFFF"/>
        </w:rPr>
      </w:pPr>
      <w:r>
        <w:rPr>
          <w:shd w:val="clear" w:color="auto" w:fill="FFFFFF"/>
        </w:rPr>
        <w:lastRenderedPageBreak/>
        <w:t xml:space="preserve">As discussed throughout our paper the literature has shown that response to the COVID-19 </w:t>
      </w:r>
      <w:r w:rsidR="00626A92">
        <w:rPr>
          <w:shd w:val="clear" w:color="auto" w:fill="FFFFFF"/>
        </w:rPr>
        <w:t>pandemic, has</w:t>
      </w:r>
      <w:r>
        <w:rPr>
          <w:shd w:val="clear" w:color="auto" w:fill="FFFFFF"/>
        </w:rPr>
        <w:t xml:space="preserve"> resulted in governments and policymakers heralding digital health as an innovative health solution that can ensure on-going access to clinical care and allow public health measures that stem rapid viral transmission and spread. However, unexamined inequities in access to and implementation of digital health as well as the quality of care afforded by digital health can recapitulate and deepen the inequities and inequalities that have long existed within our health care system.</w:t>
      </w:r>
    </w:p>
    <w:p w14:paraId="39F23CD0" w14:textId="693E4CB8" w:rsidR="001233D4" w:rsidRDefault="001233D4" w:rsidP="001233D4">
      <w:pPr>
        <w:rPr>
          <w:shd w:val="clear" w:color="auto" w:fill="FFFFFF"/>
        </w:rPr>
      </w:pPr>
      <w:r>
        <w:rPr>
          <w:shd w:val="clear" w:color="auto" w:fill="FFFFFF"/>
        </w:rPr>
        <w:t>Crawford et al (2019) used the factors described by Dover and Belon in their HEMF and overlaid this with the digital determinants of health and digital equity to develop their Digital Health Equity Fram</w:t>
      </w:r>
      <w:r w:rsidR="001F05B7">
        <w:rPr>
          <w:shd w:val="clear" w:color="auto" w:fill="FFFFFF"/>
        </w:rPr>
        <w:t>e</w:t>
      </w:r>
      <w:r>
        <w:rPr>
          <w:shd w:val="clear" w:color="auto" w:fill="FFFFFF"/>
        </w:rPr>
        <w:t>work</w:t>
      </w:r>
      <w:r w:rsidR="00F12F57">
        <w:rPr>
          <w:shd w:val="clear" w:color="auto" w:fill="FFFFFF"/>
        </w:rPr>
        <w:t xml:space="preserve"> (DHEF)</w:t>
      </w:r>
      <w:r>
        <w:rPr>
          <w:shd w:val="clear" w:color="auto" w:fill="FFFFFF"/>
        </w:rPr>
        <w:t xml:space="preserve">.  </w:t>
      </w:r>
      <w:r w:rsidR="00F12F57">
        <w:rPr>
          <w:shd w:val="clear" w:color="auto" w:fill="FFFFFF"/>
        </w:rPr>
        <w:t>The framework aims to identify the digital determinants of health and their links to digital health equity. The</w:t>
      </w:r>
      <w:r>
        <w:rPr>
          <w:shd w:val="clear" w:color="auto" w:fill="FFFFFF"/>
        </w:rPr>
        <w:t xml:space="preserve"> digital determinants of health interact with other intermediate health factors, such as psychosocial stressors, pre-existing health conditions, health-related beliefs and behaviours, and the environment, along with the person’s current health state and needs. They argue that COVID-19 has changed the approach to health equity, such that one must include digital health equity, and to do this successfully requires looking beyond individual factors to the health system itself.</w:t>
      </w:r>
      <w:r w:rsidR="00D04DE7">
        <w:rPr>
          <w:shd w:val="clear" w:color="auto" w:fill="FFFFFF"/>
        </w:rPr>
        <w:fldChar w:fldCharType="begin">
          <w:fldData xml:space="preserve">PEVuZE5vdGU+PENpdGU+PEF1dGhvcj5DcmF3Zm9yZDwvQXV0aG9yPjxZZWFyPjIwMjA8L1llYXI+
PElEVGV4dD5EaWdpdGFsIEhlYWx0aCBFcXVpdHkgYW5kIENPVklELTE5OiBUaGUgSW5ub3ZhdGlv
biBDdXJ2ZSBDYW5ub3QgUmVpbmZvcmNlIHRoZSBTb2NpYWwgR3JhZGllbnQgb2YgSGVhbHRoPC9J
RFRleHQ+PERpc3BsYXlUZXh0Pls0MF08L0Rpc3BsYXlUZXh0PjxyZWNvcmQ+PGRhdGVzPjxwdWIt
ZGF0ZXM+PGRhdGU+SnVuIDI8L2RhdGU+PC9wdWItZGF0ZXM+PHllYXI+MjAyMDwveWVhcj48L2Rh
dGVzPjxrZXl3b3Jkcz48a2V5d29yZD4qQWNjZXNzIHRvIEluZm9ybWF0aW9uPC9rZXl3b3JkPjxr
ZXl3b3JkPkJldGFjb3JvbmF2aXJ1czwva2V5d29yZD48a2V5d29yZD5Db3ZpZC0xOTwva2V5d29y
ZD48a2V5d29yZD5Db3JvbmF2aXJ1czwva2V5d29yZD48a2V5d29yZD4qQ29yb25hdmlydXMgSW5m
ZWN0aW9ucy9lcGlkZW1pb2xvZ3k8L2tleXdvcmQ+PGtleXdvcmQ+KkhlYWx0aCBFcXVpdHk8L2tl
eXdvcmQ+PGtleXdvcmQ+KkhlYWx0aGNhcmUgRGlzcGFyaXRpZXM8L2tleXdvcmQ+PGtleXdvcmQ+
SHVtYW5zPC9rZXl3b3JkPjxrZXl3b3JkPipQYW5kZW1pY3M8L2tleXdvcmQ+PGtleXdvcmQ+KlBu
ZXVtb25pYSwgVmlyYWwvZXBpZGVtaW9sb2d5PC9rZXl3b3JkPjxrZXl3b3JkPlNBUlMtQ29WLTI8
L2tleXdvcmQ+PGtleXdvcmQ+KlNvY2lhbCBDb25kaXRpb25zPC9rZXl3b3JkPjxrZXl3b3JkPipD
b3ZpZC0xOTwva2V5d29yZD48a2V5d29yZD4qZGlnaXRhbCBkZXRlcm1pbmFudHMgb2YgaGVhbHRo
PC9rZXl3b3JkPjxrZXl3b3JkPipkaWdpdGFsIGhlYWx0aDwva2V5d29yZD48a2V5d29yZD4qZGln
aXRhbCBoZWFsdGggZXF1aXR5PC9rZXl3b3JkPjxrZXl3b3JkPiplSGVhbHRoPC9rZXl3b3JkPjxr
ZXl3b3JkPiplcXVpdHk8L2tleXdvcmQ+PGtleXdvcmQ+KnB1YmxpYyBoZWFsdGg8L2tleXdvcmQ+
PGtleXdvcmQ+KnNvY2lhbDwva2V5d29yZD48a2V5d29yZD4qdmlydHVhbCBoZWFsdGg8L2tleXdv
cmQ+PC9rZXl3b3Jkcz48aXNibj4xNDM5LTQ0NTYgKFByaW50KSYjeEQ7MTQzOC04ODcxPC9pc2Ju
PjxjdXN0b20yPlBNQzcyNjg2Njc8L2N1c3RvbTI+PGN1c3RvbTE+Q29uZmxpY3RzIG9mIEludGVy
ZXN0OiBOb25lIGRlY2xhcmVkLjwvY3VzdG9tMT48dGl0bGVzPjx0aXRsZT5EaWdpdGFsIEhlYWx0
aCBFcXVpdHkgYW5kIENPVklELTE5OiBUaGUgSW5ub3ZhdGlvbiBDdXJ2ZSBDYW5ub3QgUmVpbmZv
cmNlIHRoZSBTb2NpYWwgR3JhZGllbnQgb2YgSGVhbHRoPC90aXRsZT48c2Vjb25kYXJ5LXRpdGxl
PkogTWVkIEludGVybmV0IFJlczwvc2Vjb25kYXJ5LXRpdGxlPjwvdGl0bGVzPjxwYWdlcz5lMTkz
NjE8L3BhZ2VzPjxudW1iZXI+NjwvbnVtYmVyPjxjb250cmlidXRvcnM+PGF1dGhvcnM+PGF1dGhv
cj5DcmF3Zm9yZCwgQS48L2F1dGhvcj48YXV0aG9yPlNlcmhhbCwgRS48L2F1dGhvcj48L2F1dGhv
cnM+PC9jb250cmlidXRvcnM+PGVkaXRpb24+MjAyMDA2MDI8L2VkaXRpb24+PGxhbmd1YWdlPmVu
ZzwvbGFuZ3VhZ2U+PGFkZGVkLWRhdGUgZm9ybWF0PSJ1dGMiPjE2MzMyOTM4NzA8L2FkZGVkLWRh
dGU+PHJlZi10eXBlIG5hbWU9IkpvdXJuYWwgQXJ0aWNsZSI+MTc8L3JlZi10eXBlPjxhdXRoLWFk
ZHJlc3M+VmlydHVhbCBNZW50YWwgSGVhbHRoIGFuZCBPdXRyZWFjaCwgQ2VudHJlIGZvciBBZGRp
Y3Rpb24gYW5kIE1lbnRhbCBIZWFsdGgsIFRvcm9udG8sIE9OLCBDYW5hZGEuJiN4RDtEZXBhcnRt
ZW50IG9mIFBzeWNoaWF0cnksIFVuaXZlcnNpdHkgb2YgVG9yb250bywgVG9yb250bywgT04sIENh
bmFkYS48L2F1dGgtYWRkcmVzcz48cmVtb3RlLWRhdGFiYXNlLXByb3ZpZGVyPk5MTTwvcmVtb3Rl
LWRhdGFiYXNlLXByb3ZpZGVyPjxyZWMtbnVtYmVyPjMyMjwvcmVjLW51bWJlcj48bGFzdC11cGRh
dGVkLWRhdGUgZm9ybWF0PSJ1dGMiPjE2MzMyOTM4NzA8L2xhc3QtdXBkYXRlZC1kYXRlPjxhY2Nl
c3Npb24tbnVtPjMyNDUyODE2PC9hY2Nlc3Npb24tbnVtPjxlbGVjdHJvbmljLXJlc291cmNlLW51
bT4xMC4yMTk2LzE5MzYxPC9lbGVjdHJvbmljLXJlc291cmNlLW51bT48dm9sdW1lPjIyPC92b2x1
bWU+PC9yZWNvcmQ+PC9DaXRlPjwvRW5kTm90ZT5=
</w:fldData>
        </w:fldChar>
      </w:r>
      <w:r w:rsidR="00FA5363">
        <w:rPr>
          <w:shd w:val="clear" w:color="auto" w:fill="FFFFFF"/>
        </w:rPr>
        <w:instrText xml:space="preserve"> ADDIN EN.CITE </w:instrText>
      </w:r>
      <w:r w:rsidR="00FA5363">
        <w:rPr>
          <w:shd w:val="clear" w:color="auto" w:fill="FFFFFF"/>
        </w:rPr>
        <w:fldChar w:fldCharType="begin">
          <w:fldData xml:space="preserve">PEVuZE5vdGU+PENpdGU+PEF1dGhvcj5DcmF3Zm9yZDwvQXV0aG9yPjxZZWFyPjIwMjA8L1llYXI+
PElEVGV4dD5EaWdpdGFsIEhlYWx0aCBFcXVpdHkgYW5kIENPVklELTE5OiBUaGUgSW5ub3ZhdGlv
biBDdXJ2ZSBDYW5ub3QgUmVpbmZvcmNlIHRoZSBTb2NpYWwgR3JhZGllbnQgb2YgSGVhbHRoPC9J
RFRleHQ+PERpc3BsYXlUZXh0Pls0MF08L0Rpc3BsYXlUZXh0PjxyZWNvcmQ+PGRhdGVzPjxwdWIt
ZGF0ZXM+PGRhdGU+SnVuIDI8L2RhdGU+PC9wdWItZGF0ZXM+PHllYXI+MjAyMDwveWVhcj48L2Rh
dGVzPjxrZXl3b3Jkcz48a2V5d29yZD4qQWNjZXNzIHRvIEluZm9ybWF0aW9uPC9rZXl3b3JkPjxr
ZXl3b3JkPkJldGFjb3JvbmF2aXJ1czwva2V5d29yZD48a2V5d29yZD5Db3ZpZC0xOTwva2V5d29y
ZD48a2V5d29yZD5Db3JvbmF2aXJ1czwva2V5d29yZD48a2V5d29yZD4qQ29yb25hdmlydXMgSW5m
ZWN0aW9ucy9lcGlkZW1pb2xvZ3k8L2tleXdvcmQ+PGtleXdvcmQ+KkhlYWx0aCBFcXVpdHk8L2tl
eXdvcmQ+PGtleXdvcmQ+KkhlYWx0aGNhcmUgRGlzcGFyaXRpZXM8L2tleXdvcmQ+PGtleXdvcmQ+
SHVtYW5zPC9rZXl3b3JkPjxrZXl3b3JkPipQYW5kZW1pY3M8L2tleXdvcmQ+PGtleXdvcmQ+KlBu
ZXVtb25pYSwgVmlyYWwvZXBpZGVtaW9sb2d5PC9rZXl3b3JkPjxrZXl3b3JkPlNBUlMtQ29WLTI8
L2tleXdvcmQ+PGtleXdvcmQ+KlNvY2lhbCBDb25kaXRpb25zPC9rZXl3b3JkPjxrZXl3b3JkPipD
b3ZpZC0xOTwva2V5d29yZD48a2V5d29yZD4qZGlnaXRhbCBkZXRlcm1pbmFudHMgb2YgaGVhbHRo
PC9rZXl3b3JkPjxrZXl3b3JkPipkaWdpdGFsIGhlYWx0aDwva2V5d29yZD48a2V5d29yZD4qZGln
aXRhbCBoZWFsdGggZXF1aXR5PC9rZXl3b3JkPjxrZXl3b3JkPiplSGVhbHRoPC9rZXl3b3JkPjxr
ZXl3b3JkPiplcXVpdHk8L2tleXdvcmQ+PGtleXdvcmQ+KnB1YmxpYyBoZWFsdGg8L2tleXdvcmQ+
PGtleXdvcmQ+KnNvY2lhbDwva2V5d29yZD48a2V5d29yZD4qdmlydHVhbCBoZWFsdGg8L2tleXdv
cmQ+PC9rZXl3b3Jkcz48aXNibj4xNDM5LTQ0NTYgKFByaW50KSYjeEQ7MTQzOC04ODcxPC9pc2Ju
PjxjdXN0b20yPlBNQzcyNjg2Njc8L2N1c3RvbTI+PGN1c3RvbTE+Q29uZmxpY3RzIG9mIEludGVy
ZXN0OiBOb25lIGRlY2xhcmVkLjwvY3VzdG9tMT48dGl0bGVzPjx0aXRsZT5EaWdpdGFsIEhlYWx0
aCBFcXVpdHkgYW5kIENPVklELTE5OiBUaGUgSW5ub3ZhdGlvbiBDdXJ2ZSBDYW5ub3QgUmVpbmZv
cmNlIHRoZSBTb2NpYWwgR3JhZGllbnQgb2YgSGVhbHRoPC90aXRsZT48c2Vjb25kYXJ5LXRpdGxl
PkogTWVkIEludGVybmV0IFJlczwvc2Vjb25kYXJ5LXRpdGxlPjwvdGl0bGVzPjxwYWdlcz5lMTkz
NjE8L3BhZ2VzPjxudW1iZXI+NjwvbnVtYmVyPjxjb250cmlidXRvcnM+PGF1dGhvcnM+PGF1dGhv
cj5DcmF3Zm9yZCwgQS48L2F1dGhvcj48YXV0aG9yPlNlcmhhbCwgRS48L2F1dGhvcj48L2F1dGhv
cnM+PC9jb250cmlidXRvcnM+PGVkaXRpb24+MjAyMDA2MDI8L2VkaXRpb24+PGxhbmd1YWdlPmVu
ZzwvbGFuZ3VhZ2U+PGFkZGVkLWRhdGUgZm9ybWF0PSJ1dGMiPjE2MzMyOTM4NzA8L2FkZGVkLWRh
dGU+PHJlZi10eXBlIG5hbWU9IkpvdXJuYWwgQXJ0aWNsZSI+MTc8L3JlZi10eXBlPjxhdXRoLWFk
ZHJlc3M+VmlydHVhbCBNZW50YWwgSGVhbHRoIGFuZCBPdXRyZWFjaCwgQ2VudHJlIGZvciBBZGRp
Y3Rpb24gYW5kIE1lbnRhbCBIZWFsdGgsIFRvcm9udG8sIE9OLCBDYW5hZGEuJiN4RDtEZXBhcnRt
ZW50IG9mIFBzeWNoaWF0cnksIFVuaXZlcnNpdHkgb2YgVG9yb250bywgVG9yb250bywgT04sIENh
bmFkYS48L2F1dGgtYWRkcmVzcz48cmVtb3RlLWRhdGFiYXNlLXByb3ZpZGVyPk5MTTwvcmVtb3Rl
LWRhdGFiYXNlLXByb3ZpZGVyPjxyZWMtbnVtYmVyPjMyMjwvcmVjLW51bWJlcj48bGFzdC11cGRh
dGVkLWRhdGUgZm9ybWF0PSJ1dGMiPjE2MzMyOTM4NzA8L2xhc3QtdXBkYXRlZC1kYXRlPjxhY2Nl
c3Npb24tbnVtPjMyNDUyODE2PC9hY2Nlc3Npb24tbnVtPjxlbGVjdHJvbmljLXJlc291cmNlLW51
bT4xMC4yMTk2LzE5MzYxPC9lbGVjdHJvbmljLXJlc291cmNlLW51bT48dm9sdW1lPjIyPC92b2x1
bWU+PC9yZWNvcmQ+PC9DaXRlPjwvRW5kTm90ZT5=
</w:fldData>
        </w:fldChar>
      </w:r>
      <w:r w:rsidR="00FA5363">
        <w:rPr>
          <w:shd w:val="clear" w:color="auto" w:fill="FFFFFF"/>
        </w:rPr>
        <w:instrText xml:space="preserve"> ADDIN EN.CITE.DATA </w:instrText>
      </w:r>
      <w:r w:rsidR="00FA5363">
        <w:rPr>
          <w:shd w:val="clear" w:color="auto" w:fill="FFFFFF"/>
        </w:rPr>
      </w:r>
      <w:r w:rsidR="00FA5363">
        <w:rPr>
          <w:shd w:val="clear" w:color="auto" w:fill="FFFFFF"/>
        </w:rPr>
        <w:fldChar w:fldCharType="end"/>
      </w:r>
      <w:r w:rsidR="00D04DE7">
        <w:rPr>
          <w:shd w:val="clear" w:color="auto" w:fill="FFFFFF"/>
        </w:rPr>
      </w:r>
      <w:r w:rsidR="00D04DE7">
        <w:rPr>
          <w:shd w:val="clear" w:color="auto" w:fill="FFFFFF"/>
        </w:rPr>
        <w:fldChar w:fldCharType="separate"/>
      </w:r>
      <w:r w:rsidR="00FA5363">
        <w:rPr>
          <w:noProof/>
          <w:shd w:val="clear" w:color="auto" w:fill="FFFFFF"/>
        </w:rPr>
        <w:t>[40]</w:t>
      </w:r>
      <w:r w:rsidR="00D04DE7">
        <w:rPr>
          <w:shd w:val="clear" w:color="auto" w:fill="FFFFFF"/>
        </w:rPr>
        <w:fldChar w:fldCharType="end"/>
      </w:r>
      <w:r w:rsidR="00D04DE7">
        <w:rPr>
          <w:shd w:val="clear" w:color="auto" w:fill="FFFFFF"/>
        </w:rPr>
        <w:t xml:space="preserve"> </w:t>
      </w:r>
      <w:r w:rsidRPr="009B13B9">
        <w:rPr>
          <w:shd w:val="clear" w:color="auto" w:fill="FFFFFF"/>
        </w:rPr>
        <w:t xml:space="preserve">This means needing to ensure that at every level, from health care </w:t>
      </w:r>
      <w:r w:rsidR="00C3363D" w:rsidRPr="009B13B9">
        <w:rPr>
          <w:shd w:val="clear" w:color="auto" w:fill="FFFFFF"/>
        </w:rPr>
        <w:t>providers to, health</w:t>
      </w:r>
      <w:r w:rsidRPr="009B13B9">
        <w:rPr>
          <w:shd w:val="clear" w:color="auto" w:fill="FFFFFF"/>
        </w:rPr>
        <w:t xml:space="preserve"> regulators, and government, that there is a system to be able to detect, understand, and work to improve the resourcing and quality of digital health care for all social groups to reduce digital health disparities and inequalities.</w:t>
      </w:r>
      <w:r w:rsidR="006B4921">
        <w:rPr>
          <w:shd w:val="clear" w:color="auto" w:fill="FFFFFF"/>
        </w:rPr>
        <w:t xml:space="preserve"> However, such a system does not currently exist. </w:t>
      </w:r>
    </w:p>
    <w:p w14:paraId="1D13BA8D" w14:textId="46B1D512" w:rsidR="001233D4" w:rsidRDefault="001233D4" w:rsidP="001233D4">
      <w:pPr>
        <w:rPr>
          <w:shd w:val="clear" w:color="auto" w:fill="FFFFFF"/>
        </w:rPr>
      </w:pPr>
      <w:r>
        <w:rPr>
          <w:shd w:val="clear" w:color="auto" w:fill="FFFFFF"/>
        </w:rPr>
        <w:t>Despite the increasing focus on digital exclusion, there is still a paucity of data and literature to aid our understanding. The King’s Fund and Public Health Wales looked at various organisations to try and understand through case studies how various projects had tried to address digital health inequalities. Whilst no clear unified strategy was established from this work there were some common themes which seemed to reduce exclusion, such as co-design and co-production of digital services, including digital health tools. The authors also concluded there were many unanswered questions and importantly digital health inequalities will not be static, that as new technologies and approaches are developed the digital health inequalities will also be impacted, change and need re-assessment and evaluation.</w:t>
      </w:r>
      <w:r w:rsidR="00D04DE7">
        <w:rPr>
          <w:shd w:val="clear" w:color="auto" w:fill="FFFFFF"/>
        </w:rPr>
        <w:fldChar w:fldCharType="begin"/>
      </w:r>
      <w:r w:rsidR="00FA5363">
        <w:rPr>
          <w:shd w:val="clear" w:color="auto" w:fill="FFFFFF"/>
        </w:rPr>
        <w:instrText xml:space="preserve"> ADDIN EN.CITE &lt;EndNote&gt;&lt;Cite&gt;&lt;Author&gt;Honeyman&lt;/Author&gt;&lt;Year&gt;2020&lt;/Year&gt;&lt;IDText&gt;Digital&lt;/IDText&gt;&lt;DisplayText&gt;[5]&lt;/DisplayText&gt;&lt;record&gt;&lt;titles&gt;&lt;title&gt;Digital&amp;#xA;technology and health inequalities: a scoping review&lt;/title&gt;&lt;/titles&gt;&lt;contributors&gt;&lt;authors&gt;&lt;author&gt;Honeyman, M&lt;/author&gt;&lt;author&gt;Maguire, D&lt;/author&gt;&lt;author&gt;Evans, H&lt;/author&gt;&lt;author&gt;Davies, A&lt;/author&gt;&lt;/authors&gt;&lt;/contributors&gt;&lt;added-date format="utc"&gt;1633034051&lt;/added-date&gt;&lt;pub-location&gt;Cardiff&lt;/pub-location&gt;&lt;ref-type name="Generic"&gt;13&lt;/ref-type&gt;&lt;dates&gt;&lt;year&gt;2020&lt;/year&gt;&lt;/dates&gt;&lt;rec-number&gt;280&lt;/rec-number&gt;&lt;publisher&gt;Public&amp;#xA;Health Wales NHS Trust&lt;/publisher&gt;&lt;last-updated-date format="utc"&gt;1633034101&lt;/last-updated-date&gt;&lt;/record&gt;&lt;/Cite&gt;&lt;/EndNote&gt;</w:instrText>
      </w:r>
      <w:r w:rsidR="00D04DE7">
        <w:rPr>
          <w:shd w:val="clear" w:color="auto" w:fill="FFFFFF"/>
        </w:rPr>
        <w:fldChar w:fldCharType="separate"/>
      </w:r>
      <w:r w:rsidR="00FA5363">
        <w:rPr>
          <w:noProof/>
          <w:shd w:val="clear" w:color="auto" w:fill="FFFFFF"/>
        </w:rPr>
        <w:t>[5]</w:t>
      </w:r>
      <w:r w:rsidR="00D04DE7">
        <w:rPr>
          <w:shd w:val="clear" w:color="auto" w:fill="FFFFFF"/>
        </w:rPr>
        <w:fldChar w:fldCharType="end"/>
      </w:r>
    </w:p>
    <w:p w14:paraId="18E87589" w14:textId="28F3E6A4" w:rsidR="001233D4" w:rsidRDefault="001233D4" w:rsidP="001233D4">
      <w:pPr>
        <w:rPr>
          <w:shd w:val="clear" w:color="auto" w:fill="FFFFFF"/>
        </w:rPr>
      </w:pPr>
      <w:r>
        <w:rPr>
          <w:shd w:val="clear" w:color="auto" w:fill="FFFFFF"/>
        </w:rPr>
        <w:t xml:space="preserve">Numerous articles in the literature have highlighted health inequalities during the COVID-19 pandemic and its continuing aftermath. However, the pandemic has offered an opportunity for the NHS and all integrated care systems to truly pledge to make a difference and address these health inequalities, including digital health inequality. Every level of the system should be striving to develop processes and measures to prevent blind spots and inattention in this regard. The celebrated curve of innovation cannot reinforce the social gradient of health, whereby people in less advantaged socioeconomic </w:t>
      </w:r>
      <w:r>
        <w:rPr>
          <w:shd w:val="clear" w:color="auto" w:fill="FFFFFF"/>
        </w:rPr>
        <w:lastRenderedPageBreak/>
        <w:t xml:space="preserve">positions have less access to digital health care, poorer quality of digital health care, or worse health outcomes.  </w:t>
      </w:r>
    </w:p>
    <w:p w14:paraId="107CCBCA" w14:textId="2DFD9845" w:rsidR="006A43F6" w:rsidRPr="008C0253" w:rsidRDefault="005D41DB" w:rsidP="002B6262">
      <w:pPr>
        <w:rPr>
          <w:shd w:val="clear" w:color="auto" w:fill="FFFFFF"/>
        </w:rPr>
      </w:pPr>
      <w:r w:rsidRPr="00846F91">
        <w:rPr>
          <w:shd w:val="clear" w:color="auto" w:fill="FFFFFF"/>
        </w:rPr>
        <w:t>It is well recognised that those requiring health care the least tend to use health care services more and indeed more effectively. The rapid shift towards digitalisation of services during the pandemic made access to services easier for those with lower levels of need.</w:t>
      </w:r>
      <w:r>
        <w:rPr>
          <w:shd w:val="clear" w:color="auto" w:fill="FFFFFF"/>
        </w:rPr>
        <w:t xml:space="preserve"> </w:t>
      </w:r>
      <w:r w:rsidR="002B6262">
        <w:rPr>
          <w:shd w:val="clear" w:color="auto" w:fill="FFFFFF"/>
        </w:rPr>
        <w:t xml:space="preserve">It also empowered those who may previously have been disadvantaged due to geographical barriers. </w:t>
      </w:r>
      <w:r>
        <w:rPr>
          <w:shd w:val="clear" w:color="auto" w:fill="FFFFFF"/>
        </w:rPr>
        <w:t xml:space="preserve">Conversely, patients who were already in greater need of services </w:t>
      </w:r>
      <w:r w:rsidR="00F36756">
        <w:rPr>
          <w:shd w:val="clear" w:color="auto" w:fill="FFFFFF"/>
        </w:rPr>
        <w:t xml:space="preserve">were those least likely to have the skills they needed, or technology required to access these services, and therefore </w:t>
      </w:r>
      <w:r>
        <w:rPr>
          <w:shd w:val="clear" w:color="auto" w:fill="FFFFFF"/>
        </w:rPr>
        <w:t>faced a double disadvantage</w:t>
      </w:r>
      <w:r w:rsidR="00F36756">
        <w:rPr>
          <w:shd w:val="clear" w:color="auto" w:fill="FFFFFF"/>
        </w:rPr>
        <w:t>.</w:t>
      </w:r>
      <w:r>
        <w:rPr>
          <w:shd w:val="clear" w:color="auto" w:fill="FFFFFF"/>
        </w:rPr>
        <w:t xml:space="preserve"> </w:t>
      </w:r>
    </w:p>
    <w:p w14:paraId="63F104FB" w14:textId="72A0992C" w:rsidR="004F150A" w:rsidRDefault="002B6262" w:rsidP="008C0253">
      <w:r w:rsidRPr="008C0253">
        <w:rPr>
          <w:shd w:val="clear" w:color="auto" w:fill="FFFFFF"/>
        </w:rPr>
        <w:t>R</w:t>
      </w:r>
      <w:r w:rsidR="002045B9" w:rsidRPr="008C0253">
        <w:rPr>
          <w:shd w:val="clear" w:color="auto" w:fill="FFFFFF"/>
        </w:rPr>
        <w:t>esearch during the pandemic</w:t>
      </w:r>
      <w:r w:rsidR="00FA5363" w:rsidRPr="008C0253">
        <w:rPr>
          <w:shd w:val="clear" w:color="auto" w:fill="FFFFFF"/>
        </w:rPr>
        <w:t xml:space="preserve"> </w:t>
      </w:r>
      <w:r w:rsidR="002045B9" w:rsidRPr="008C0253">
        <w:rPr>
          <w:shd w:val="clear" w:color="auto" w:fill="FFFFFF"/>
        </w:rPr>
        <w:t xml:space="preserve">shows that patients in areas of high social vulnerability are significantly </w:t>
      </w:r>
      <w:r w:rsidR="002045B9" w:rsidRPr="00E56750">
        <w:t>more likely to experience barriers to online primary care</w:t>
      </w:r>
      <w:r w:rsidR="00E56750" w:rsidRPr="00E56750">
        <w:t xml:space="preserve"> and </w:t>
      </w:r>
      <w:r w:rsidR="002045B9" w:rsidRPr="00E56750">
        <w:t>they are also more than twice as likely to experience language barriers to telehealth care in comparison with those with low social vulnerability</w:t>
      </w:r>
      <w:r w:rsidR="00E56750" w:rsidRPr="00E56750">
        <w:t>,</w:t>
      </w:r>
      <w:r w:rsidR="002045B9" w:rsidRPr="00E56750">
        <w:t xml:space="preserve"> suggesting some evidence of intersectionality.</w:t>
      </w:r>
      <w:r w:rsidR="00FA5363" w:rsidRPr="00E56750">
        <w:fldChar w:fldCharType="begin">
          <w:fldData xml:space="preserve">PEVuZE5vdGU+PENpdGU+PEF1dGhvcj5DaGFuZzwvQXV0aG9yPjxZZWFyPjIwMjE8L1llYXI+PElE
VGV4dD5SYXBpZCBUcmFuc2l0aW9uIHRvIFRlbGVoZWFsdGggYW5kIHRoZSBEaWdpdGFsIERpdmlk
ZTogSW1wbGljYXRpb25zIGZvciBQcmltYXJ5IENhcmUgQWNjZXNzIGFuZCBFcXVpdHkgaW4gYSBQ
b3N0LUNPVklEIEVyYTwvSURUZXh0PjxEaXNwbGF5VGV4dD5bNDFdPC9EaXNwbGF5VGV4dD48cmVj
b3JkPjxkYXRlcz48cHViLWRhdGVzPjxkYXRlPkp1bjwvZGF0ZT48L3B1Yi1kYXRlcz48eWVhcj4y
MDIxPC95ZWFyPjwvZGF0ZXM+PGtleXdvcmRzPjxrZXl3b3JkPkF0dGl0dWRlIG9mIEhlYWx0aCBQ
ZXJzb25uZWw8L2tleXdvcmQ+PGtleXdvcmQ+Q09WSUQtMTkvZXBpZGVtaW9sb2d5PC9rZXl3b3Jk
PjxrZXl3b3JkPkZlbWFsZTwva2V5d29yZD48a2V5d29yZD5IZWFsdGggRXF1aXR5LypzdGFuZGFy
ZHM8L2tleXdvcmQ+PGtleXdvcmQ+SHVtYW5zPC9rZXl3b3JkPjxrZXl3b3JkPk1hbGU8L2tleXdv
cmQ+PGtleXdvcmQ+UGFuZGVtaWNzPC9rZXl3b3JkPjxrZXl3b3JkPlBhdGllbnQgQWNjZXB0YW5j
ZSBvZiBIZWFsdGggQ2FyZTwva2V5d29yZD48a2V5d29yZD5QcmltYXJ5IEhlYWx0aCBDYXJlL2Vj
b25vbWljcy8qb3JnYW5pemF0aW9uICZhbXA7IGFkbWluaXN0cmF0aW9uPC9rZXl3b3JkPjxrZXl3
b3JkPlNBUlMtQ29WLTI8L2tleXdvcmQ+PGtleXdvcmQ+U3VydmV5cyBhbmQgUXVlc3Rpb25uYWly
ZXM8L2tleXdvcmQ+PGtleXdvcmQ+VGVsZW1lZGljaW5lL2Vjb25vbWljcy8qbWV0aG9kcy9zdGF0
aXN0aWNzICZhbXA7IG51bWVyaWNhbCBkYXRhPC9rZXl3b3JkPjxrZXl3b3JkPipUZWxlaGVhbHRo
PC9rZXl3b3JkPjxrZXl3b3JkPipoZWFsdGggZXF1aXR5PC9rZXl3b3JkPjxrZXl3b3JkPip0ZWxl
bWVkaWNpbmU8L2tleXdvcmQ+PC9rZXl3b3Jkcz48aXNibj4wODg3LTM3OFggKFByaW50KSYjeEQ7
MDg4Ny0zNzh4PC9pc2JuPjxjdXN0b20yPlBNQzgyMDk4NTU8L2N1c3RvbTI+PHRpdGxlcz48dGl0
bGU+UmFwaWQgVHJhbnNpdGlvbiB0byBUZWxlaGVhbHRoIGFuZCB0aGUgRGlnaXRhbCBEaXZpZGU6
IEltcGxpY2F0aW9ucyBmb3IgUHJpbWFyeSBDYXJlIEFjY2VzcyBhbmQgRXF1aXR5IGluIGEgUG9z
dC1DT1ZJRCBFcmE8L3RpdGxlPjxzZWNvbmRhcnktdGl0bGU+TWlsYmFuayBRPC9zZWNvbmRhcnkt
dGl0bGU+PC90aXRsZXM+PHBhZ2VzPjM0MC0zNjg8L3BhZ2VzPjxudW1iZXI+MjwvbnVtYmVyPjxj
b250cmlidXRvcnM+PGF1dGhvcnM+PGF1dGhvcj5DaGFuZywgSi4gRS48L2F1dGhvcj48YXV0aG9y
PkxhaSwgQS4gWS48L2F1dGhvcj48YXV0aG9yPkd1cHRhLCBBLjwvYXV0aG9yPjxhdXRob3I+Tmd1
eWVuLCBBLiBNLjwvYXV0aG9yPjxhdXRob3I+QmVycnksIEMuIEEuPC9hdXRob3I+PGF1dGhvcj5T
aGVsbGV5LCBELiBSLjwvYXV0aG9yPjwvYXV0aG9ycz48L2NvbnRyaWJ1dG9ycz48ZWRpdGlvbj4y
MDIxMDYwMTwvZWRpdGlvbj48bGFuZ3VhZ2U+ZW5nPC9sYW5ndWFnZT48YWRkZWQtZGF0ZSBmb3Jt
YXQ9InV0YyI+MTY0Nzk1OTgxNzwvYWRkZWQtZGF0ZT48cmVmLXR5cGUgbmFtZT0iSm91cm5hbCBB
cnRpY2xlIj4xNzwvcmVmLXR5cGU+PGF1dGgtYWRkcmVzcz5OZXcgWW9yayBVbml2ZXJzaXR5IFNj
aG9vbCBvZiBHbG9iYWwgUHVibGljIEhlYWx0aC4mI3hEO1J1dGdlcnMgQ2VudGVyIGZvciBTdGF0
ZSBIZWFsdGggUG9saWN5LiYjeEQ7TmV3IFlvcmsgVW5pdmVyc2l0eSBHcm9zc21hbiBTY2hvb2wg
b2YgTWVkaWNpbmUuPC9hdXRoLWFkZHJlc3M+PHJlbW90ZS1kYXRhYmFzZS1wcm92aWRlcj5OTE08
L3JlbW90ZS1kYXRhYmFzZS1wcm92aWRlcj48cmVjLW51bWJlcj4zNDk8L3JlYy1udW1iZXI+PGxh
c3QtdXBkYXRlZC1kYXRlIGZvcm1hdD0idXRjIj4xNjQ3OTU5ODE3PC9sYXN0LXVwZGF0ZWQtZGF0
ZT48YWNjZXNzaW9uLW51bT4zNDA3NTYyMjwvYWNjZXNzaW9uLW51bT48ZWxlY3Ryb25pYy1yZXNv
dXJjZS1udW0+MTAuMTExMS8xNDY4LTAwMDkuMTI1MDk8L2VsZWN0cm9uaWMtcmVzb3VyY2UtbnVt
Pjx2b2x1bWU+OTk8L3ZvbHVtZT48L3JlY29yZD48L0NpdGU+PC9FbmROb3RlPn==
</w:fldData>
        </w:fldChar>
      </w:r>
      <w:r w:rsidR="00FA5363" w:rsidRPr="00E56750">
        <w:instrText xml:space="preserve"> ADDIN EN.CITE </w:instrText>
      </w:r>
      <w:r w:rsidR="00FA5363" w:rsidRPr="00E56750">
        <w:fldChar w:fldCharType="begin">
          <w:fldData xml:space="preserve">PEVuZE5vdGU+PENpdGU+PEF1dGhvcj5DaGFuZzwvQXV0aG9yPjxZZWFyPjIwMjE8L1llYXI+PElE
VGV4dD5SYXBpZCBUcmFuc2l0aW9uIHRvIFRlbGVoZWFsdGggYW5kIHRoZSBEaWdpdGFsIERpdmlk
ZTogSW1wbGljYXRpb25zIGZvciBQcmltYXJ5IENhcmUgQWNjZXNzIGFuZCBFcXVpdHkgaW4gYSBQ
b3N0LUNPVklEIEVyYTwvSURUZXh0PjxEaXNwbGF5VGV4dD5bNDFdPC9EaXNwbGF5VGV4dD48cmVj
b3JkPjxkYXRlcz48cHViLWRhdGVzPjxkYXRlPkp1bjwvZGF0ZT48L3B1Yi1kYXRlcz48eWVhcj4y
MDIxPC95ZWFyPjwvZGF0ZXM+PGtleXdvcmRzPjxrZXl3b3JkPkF0dGl0dWRlIG9mIEhlYWx0aCBQ
ZXJzb25uZWw8L2tleXdvcmQ+PGtleXdvcmQ+Q09WSUQtMTkvZXBpZGVtaW9sb2d5PC9rZXl3b3Jk
PjxrZXl3b3JkPkZlbWFsZTwva2V5d29yZD48a2V5d29yZD5IZWFsdGggRXF1aXR5LypzdGFuZGFy
ZHM8L2tleXdvcmQ+PGtleXdvcmQ+SHVtYW5zPC9rZXl3b3JkPjxrZXl3b3JkPk1hbGU8L2tleXdv
cmQ+PGtleXdvcmQ+UGFuZGVtaWNzPC9rZXl3b3JkPjxrZXl3b3JkPlBhdGllbnQgQWNjZXB0YW5j
ZSBvZiBIZWFsdGggQ2FyZTwva2V5d29yZD48a2V5d29yZD5QcmltYXJ5IEhlYWx0aCBDYXJlL2Vj
b25vbWljcy8qb3JnYW5pemF0aW9uICZhbXA7IGFkbWluaXN0cmF0aW9uPC9rZXl3b3JkPjxrZXl3
b3JkPlNBUlMtQ29WLTI8L2tleXdvcmQ+PGtleXdvcmQ+U3VydmV5cyBhbmQgUXVlc3Rpb25uYWly
ZXM8L2tleXdvcmQ+PGtleXdvcmQ+VGVsZW1lZGljaW5lL2Vjb25vbWljcy8qbWV0aG9kcy9zdGF0
aXN0aWNzICZhbXA7IG51bWVyaWNhbCBkYXRhPC9rZXl3b3JkPjxrZXl3b3JkPipUZWxlaGVhbHRo
PC9rZXl3b3JkPjxrZXl3b3JkPipoZWFsdGggZXF1aXR5PC9rZXl3b3JkPjxrZXl3b3JkPip0ZWxl
bWVkaWNpbmU8L2tleXdvcmQ+PC9rZXl3b3Jkcz48aXNibj4wODg3LTM3OFggKFByaW50KSYjeEQ7
MDg4Ny0zNzh4PC9pc2JuPjxjdXN0b20yPlBNQzgyMDk4NTU8L2N1c3RvbTI+PHRpdGxlcz48dGl0
bGU+UmFwaWQgVHJhbnNpdGlvbiB0byBUZWxlaGVhbHRoIGFuZCB0aGUgRGlnaXRhbCBEaXZpZGU6
IEltcGxpY2F0aW9ucyBmb3IgUHJpbWFyeSBDYXJlIEFjY2VzcyBhbmQgRXF1aXR5IGluIGEgUG9z
dC1DT1ZJRCBFcmE8L3RpdGxlPjxzZWNvbmRhcnktdGl0bGU+TWlsYmFuayBRPC9zZWNvbmRhcnkt
dGl0bGU+PC90aXRsZXM+PHBhZ2VzPjM0MC0zNjg8L3BhZ2VzPjxudW1iZXI+MjwvbnVtYmVyPjxj
b250cmlidXRvcnM+PGF1dGhvcnM+PGF1dGhvcj5DaGFuZywgSi4gRS48L2F1dGhvcj48YXV0aG9y
PkxhaSwgQS4gWS48L2F1dGhvcj48YXV0aG9yPkd1cHRhLCBBLjwvYXV0aG9yPjxhdXRob3I+Tmd1
eWVuLCBBLiBNLjwvYXV0aG9yPjxhdXRob3I+QmVycnksIEMuIEEuPC9hdXRob3I+PGF1dGhvcj5T
aGVsbGV5LCBELiBSLjwvYXV0aG9yPjwvYXV0aG9ycz48L2NvbnRyaWJ1dG9ycz48ZWRpdGlvbj4y
MDIxMDYwMTwvZWRpdGlvbj48bGFuZ3VhZ2U+ZW5nPC9sYW5ndWFnZT48YWRkZWQtZGF0ZSBmb3Jt
YXQ9InV0YyI+MTY0Nzk1OTgxNzwvYWRkZWQtZGF0ZT48cmVmLXR5cGUgbmFtZT0iSm91cm5hbCBB
cnRpY2xlIj4xNzwvcmVmLXR5cGU+PGF1dGgtYWRkcmVzcz5OZXcgWW9yayBVbml2ZXJzaXR5IFNj
aG9vbCBvZiBHbG9iYWwgUHVibGljIEhlYWx0aC4mI3hEO1J1dGdlcnMgQ2VudGVyIGZvciBTdGF0
ZSBIZWFsdGggUG9saWN5LiYjeEQ7TmV3IFlvcmsgVW5pdmVyc2l0eSBHcm9zc21hbiBTY2hvb2wg
b2YgTWVkaWNpbmUuPC9hdXRoLWFkZHJlc3M+PHJlbW90ZS1kYXRhYmFzZS1wcm92aWRlcj5OTE08
L3JlbW90ZS1kYXRhYmFzZS1wcm92aWRlcj48cmVjLW51bWJlcj4zNDk8L3JlYy1udW1iZXI+PGxh
c3QtdXBkYXRlZC1kYXRlIGZvcm1hdD0idXRjIj4xNjQ3OTU5ODE3PC9sYXN0LXVwZGF0ZWQtZGF0
ZT48YWNjZXNzaW9uLW51bT4zNDA3NTYyMjwvYWNjZXNzaW9uLW51bT48ZWxlY3Ryb25pYy1yZXNv
dXJjZS1udW0+MTAuMTExMS8xNDY4LTAwMDkuMTI1MDk8L2VsZWN0cm9uaWMtcmVzb3VyY2UtbnVt
Pjx2b2x1bWU+OTk8L3ZvbHVtZT48L3JlY29yZD48L0NpdGU+PC9FbmROb3RlPn==
</w:fldData>
        </w:fldChar>
      </w:r>
      <w:r w:rsidR="00FA5363" w:rsidRPr="00E56750">
        <w:instrText xml:space="preserve"> ADDIN EN.CITE.DATA </w:instrText>
      </w:r>
      <w:r w:rsidR="00FA5363" w:rsidRPr="00E56750">
        <w:fldChar w:fldCharType="end"/>
      </w:r>
      <w:r w:rsidR="00FA5363" w:rsidRPr="00E56750">
        <w:fldChar w:fldCharType="separate"/>
      </w:r>
      <w:r w:rsidR="00FA5363" w:rsidRPr="00E56750">
        <w:rPr>
          <w:noProof/>
        </w:rPr>
        <w:t>[41]</w:t>
      </w:r>
      <w:r w:rsidR="00FA5363" w:rsidRPr="00E56750">
        <w:fldChar w:fldCharType="end"/>
      </w:r>
      <w:r w:rsidR="00FA5363" w:rsidRPr="00E56750">
        <w:t xml:space="preserve"> </w:t>
      </w:r>
      <w:r w:rsidR="00E56750" w:rsidRPr="00E56750">
        <w:t xml:space="preserve">Although this data came from </w:t>
      </w:r>
      <w:r w:rsidR="004477BF" w:rsidRPr="00E56750">
        <w:t>a US</w:t>
      </w:r>
      <w:r w:rsidR="00E56750" w:rsidRPr="00E56750">
        <w:t xml:space="preserve"> population, d</w:t>
      </w:r>
      <w:r w:rsidR="004F150A" w:rsidRPr="00E56750">
        <w:t xml:space="preserve">ata from the Nuffield Trust supports the importance of intersectionality in understanding differences in access to care at GP surgeries during the pandemic. </w:t>
      </w:r>
      <w:r w:rsidR="00E56750" w:rsidRPr="00E56750">
        <w:t>Patients</w:t>
      </w:r>
      <w:r w:rsidR="004F150A" w:rsidRPr="00E56750">
        <w:t xml:space="preserve"> at GP practices in England who were of Asian or Black ethnicity, living with a disability, and providing unpaid care of 50+ hours a week were f</w:t>
      </w:r>
      <w:r w:rsidR="004F150A" w:rsidRPr="0082665C">
        <w:t>our times less likely to try to book a GP appointment online via an app or website compared to patients in the same survey who were young (16-35 years), white, well (no long-term conditions), and working full time.</w:t>
      </w:r>
      <w:r w:rsidR="004F150A" w:rsidRPr="00E56750">
        <w:fldChar w:fldCharType="begin"/>
      </w:r>
      <w:r w:rsidR="004F150A" w:rsidRPr="00E56750">
        <w:instrText xml:space="preserve"> ADDIN EN.CITE &lt;EndNote&gt;&lt;Cite&gt;&lt;Author&gt;Nuffield&lt;/Author&gt;&lt;Year&gt;2022&lt;/Year&gt;&lt;IDText&gt;Digital and remote primary care: the inverse care law with a 21st century twist?&lt;/IDText&gt;&lt;DisplayText&gt;[42]&lt;/DisplayText&gt;&lt;record&gt;&lt;urls&gt;&lt;related-urls&gt;&lt;url&gt;https://www.nuffieldtrust.org.uk/news-item/digital-and-remote-primary-care-the-inverse-care-law-with-a-21st-century-twist&lt;/url&gt;&lt;/related-urls&gt;&lt;/urls&gt;&lt;titles&gt;&lt;title&gt;Digital and remote primary care: the inverse care law with a 21st century twist?&lt;/title&gt;&lt;/titles&gt;&lt;access-date&gt;22nd march 2022&lt;/access-date&gt;&lt;contributors&gt;&lt;authors&gt;&lt;author&gt;Nuffield Trust&lt;/author&gt;&lt;/authors&gt;&lt;/contributors&gt;&lt;added-date format="utc"&gt;1647953946&lt;/added-date&gt;&lt;ref-type name="Generic"&gt;13&lt;/ref-type&gt;&lt;dates&gt;&lt;year&gt;2022&lt;/year&gt;&lt;/dates&gt;&lt;rec-number&gt;347&lt;/rec-number&gt;&lt;last-updated-date format="utc"&gt;1647954101&lt;/last-updated-date&gt;&lt;/record&gt;&lt;/Cite&gt;&lt;/EndNote&gt;</w:instrText>
      </w:r>
      <w:r w:rsidR="004F150A" w:rsidRPr="00E56750">
        <w:fldChar w:fldCharType="separate"/>
      </w:r>
      <w:r w:rsidR="004F150A" w:rsidRPr="00E56750">
        <w:rPr>
          <w:noProof/>
        </w:rPr>
        <w:t>[42]</w:t>
      </w:r>
      <w:r w:rsidR="004F150A" w:rsidRPr="00E56750">
        <w:fldChar w:fldCharType="end"/>
      </w:r>
      <w:r w:rsidR="00E56750" w:rsidRPr="00E56750">
        <w:t xml:space="preserve"> It is not yet clear how various patient characteristics may combine or interact to exacerbate digital inequalities.</w:t>
      </w:r>
    </w:p>
    <w:p w14:paraId="1270B4D5" w14:textId="162110F1" w:rsidR="002045B9" w:rsidRPr="00A252CE" w:rsidRDefault="00E56750" w:rsidP="001233D4">
      <w:r>
        <w:t>Healthcare providers should be aware that not all patient</w:t>
      </w:r>
      <w:r w:rsidR="00491532">
        <w:t>s</w:t>
      </w:r>
      <w:r>
        <w:t xml:space="preserve"> will be able to engage with digital service delivery, and that other routes of access need to be maintained to avoid widening health inequalities. The logical next question is how can these individuals be identified? </w:t>
      </w:r>
      <w:r w:rsidR="00491532">
        <w:t xml:space="preserve">In line with recent </w:t>
      </w:r>
      <w:r w:rsidR="00FA1B1B">
        <w:t>recommendations,</w:t>
      </w:r>
      <w:r w:rsidR="00491532">
        <w:t xml:space="preserve"> </w:t>
      </w:r>
      <w:r w:rsidR="00FA1B1B">
        <w:t>w</w:t>
      </w:r>
      <w:r>
        <w:t>e propose the derivation of a metric that combines multiple proxy measures for risk of digital exclusion using</w:t>
      </w:r>
      <w:r w:rsidR="008B05CC">
        <w:t xml:space="preserve"> existing coded</w:t>
      </w:r>
      <w:r>
        <w:t xml:space="preserve"> data from </w:t>
      </w:r>
      <w:r w:rsidR="008B05CC">
        <w:t xml:space="preserve">the GP electronic record. </w:t>
      </w:r>
      <w:r w:rsidR="00E22AF9">
        <w:t xml:space="preserve"> This metric could be used to target access and prioritise </w:t>
      </w:r>
      <w:r w:rsidR="00FA1B1B">
        <w:t xml:space="preserve">patients </w:t>
      </w:r>
      <w:r w:rsidR="00E22AF9">
        <w:t>appropriately</w:t>
      </w:r>
      <w:r w:rsidR="00FA1B1B">
        <w:t>.</w:t>
      </w:r>
      <w:r w:rsidR="0042612F">
        <w:t xml:space="preserve"> </w:t>
      </w:r>
      <w:r w:rsidR="008B05CC">
        <w:t xml:space="preserve">Such factors could include </w:t>
      </w:r>
      <w:r w:rsidR="00E22AF9">
        <w:t xml:space="preserve">patient demographics - age, gender, ethnicity, patients with learning disabilities, sensory impairment, or severe mental illness, those coded as bed bound or living in care homes, patients coded as on an employment and support allowance (ESA), or personal independence payment, </w:t>
      </w:r>
      <w:r w:rsidR="0042612F">
        <w:t>patients</w:t>
      </w:r>
      <w:r w:rsidR="00E22AF9">
        <w:t xml:space="preserve"> coded as illiterate or those who do not have English as a first language</w:t>
      </w:r>
      <w:r w:rsidR="0042612F">
        <w:t xml:space="preserve"> and those who do not have a mobile phone number attached to their record. This would be in line with priorities set</w:t>
      </w:r>
      <w:r w:rsidR="00304530">
        <w:t xml:space="preserve"> out recently by NHS England for 2022</w:t>
      </w:r>
      <w:r w:rsidR="0042612F">
        <w:t xml:space="preserve"> which focus</w:t>
      </w:r>
      <w:r w:rsidR="00304530">
        <w:t xml:space="preserve"> on achieving a core level of digitalisation in all services. </w:t>
      </w:r>
      <w:r w:rsidR="0042612F">
        <w:t>But a</w:t>
      </w:r>
      <w:r w:rsidR="00304530">
        <w:t xml:space="preserve">t the same time </w:t>
      </w:r>
      <w:r w:rsidR="0042612F">
        <w:t xml:space="preserve">places </w:t>
      </w:r>
      <w:r w:rsidR="00304530">
        <w:t xml:space="preserve">flexibility and inclusive access at the centre of care, recognising that ‘one size doesn’t fit all’. </w:t>
      </w:r>
    </w:p>
    <w:p w14:paraId="5652A61B" w14:textId="147752C8" w:rsidR="00BA2C12" w:rsidRPr="0051406F" w:rsidRDefault="008B53FA" w:rsidP="001233D4">
      <w:pPr>
        <w:rPr>
          <w:b/>
          <w:shd w:val="clear" w:color="auto" w:fill="FFFFFF"/>
        </w:rPr>
      </w:pPr>
      <w:r w:rsidRPr="0051406F">
        <w:rPr>
          <w:b/>
          <w:shd w:val="clear" w:color="auto" w:fill="FFFFFF"/>
        </w:rPr>
        <w:lastRenderedPageBreak/>
        <w:t>Summary</w:t>
      </w:r>
    </w:p>
    <w:p w14:paraId="1038A4F5" w14:textId="61F913BF" w:rsidR="008B53FA" w:rsidRPr="00E97B15" w:rsidRDefault="0051406F" w:rsidP="008B53FA">
      <w:pPr>
        <w:pStyle w:val="ListParagraph"/>
        <w:numPr>
          <w:ilvl w:val="0"/>
          <w:numId w:val="20"/>
        </w:numPr>
        <w:rPr>
          <w:b/>
          <w:shd w:val="clear" w:color="auto" w:fill="FFFFFF"/>
        </w:rPr>
      </w:pPr>
      <w:r w:rsidRPr="0051406F">
        <w:rPr>
          <w:shd w:val="clear" w:color="auto" w:fill="FFFFFF"/>
        </w:rPr>
        <w:t>T</w:t>
      </w:r>
      <w:r w:rsidR="008B53FA" w:rsidRPr="0051406F">
        <w:rPr>
          <w:shd w:val="clear" w:color="auto" w:fill="FFFFFF"/>
        </w:rPr>
        <w:t>he response to the pandemic saw a rapid shift to the adoption of digital approaches to working and engaging with populations</w:t>
      </w:r>
      <w:r w:rsidR="00E97B15">
        <w:rPr>
          <w:shd w:val="clear" w:color="auto" w:fill="FFFFFF"/>
        </w:rPr>
        <w:t>.</w:t>
      </w:r>
    </w:p>
    <w:p w14:paraId="3C5347DF" w14:textId="7BB5D1A9" w:rsidR="00E97B15" w:rsidRPr="0051406F" w:rsidRDefault="00E97B15" w:rsidP="008B53FA">
      <w:pPr>
        <w:pStyle w:val="ListParagraph"/>
        <w:numPr>
          <w:ilvl w:val="0"/>
          <w:numId w:val="20"/>
        </w:numPr>
        <w:rPr>
          <w:b/>
          <w:shd w:val="clear" w:color="auto" w:fill="FFFFFF"/>
        </w:rPr>
      </w:pPr>
      <w:r>
        <w:rPr>
          <w:shd w:val="clear" w:color="auto" w:fill="FFFFFF"/>
        </w:rPr>
        <w:t>The scale and pace of change made it difficult for Trusts to use data to drive improvement</w:t>
      </w:r>
      <w:r w:rsidR="001F1A74">
        <w:rPr>
          <w:shd w:val="clear" w:color="auto" w:fill="FFFFFF"/>
        </w:rPr>
        <w:t>.</w:t>
      </w:r>
    </w:p>
    <w:p w14:paraId="1263B2D6" w14:textId="6CA2CB04" w:rsidR="008B53FA" w:rsidRPr="0051406F" w:rsidRDefault="008B53FA" w:rsidP="008B53FA">
      <w:pPr>
        <w:pStyle w:val="ListParagraph"/>
        <w:numPr>
          <w:ilvl w:val="0"/>
          <w:numId w:val="29"/>
        </w:numPr>
        <w:rPr>
          <w:bCs/>
          <w:shd w:val="clear" w:color="auto" w:fill="FFFFFF"/>
        </w:rPr>
      </w:pPr>
      <w:r w:rsidRPr="0051406F">
        <w:rPr>
          <w:color w:val="auto"/>
        </w:rPr>
        <w:t xml:space="preserve">The burden of disruptions to health care services has disproportionately fallen on the individuals that are most likely to require care in the first </w:t>
      </w:r>
      <w:r w:rsidR="00E97B15" w:rsidRPr="0051406F">
        <w:rPr>
          <w:color w:val="auto"/>
        </w:rPr>
        <w:t>place</w:t>
      </w:r>
      <w:r w:rsidRPr="0051406F">
        <w:rPr>
          <w:color w:val="auto"/>
        </w:rPr>
        <w:t xml:space="preserve"> and least likely to be able to substitute temporarily for other types of care, or to go without care completely.</w:t>
      </w:r>
    </w:p>
    <w:p w14:paraId="22E1F3C0" w14:textId="09393C41" w:rsidR="0051406F" w:rsidRPr="0051406F" w:rsidRDefault="0051406F" w:rsidP="0051406F">
      <w:pPr>
        <w:pStyle w:val="ListParagraph"/>
        <w:numPr>
          <w:ilvl w:val="0"/>
          <w:numId w:val="29"/>
        </w:numPr>
        <w:rPr>
          <w:b/>
          <w:shd w:val="clear" w:color="auto" w:fill="FFFFFF"/>
        </w:rPr>
      </w:pPr>
      <w:r w:rsidRPr="0051406F">
        <w:t>The initial guidelines from NHS England on increasing the digitalisation of healthcare services did not focus on the impact of digital exclusion and its correlation with poor health outcomes</w:t>
      </w:r>
      <w:r w:rsidR="001F1A74">
        <w:t>.</w:t>
      </w:r>
    </w:p>
    <w:p w14:paraId="51338C55" w14:textId="75AD1416" w:rsidR="0051406F" w:rsidRPr="0051406F" w:rsidRDefault="0051406F" w:rsidP="008B53FA">
      <w:pPr>
        <w:pStyle w:val="ListParagraph"/>
        <w:numPr>
          <w:ilvl w:val="0"/>
          <w:numId w:val="29"/>
        </w:numPr>
        <w:rPr>
          <w:bCs/>
          <w:shd w:val="clear" w:color="auto" w:fill="FFFFFF"/>
        </w:rPr>
      </w:pPr>
      <w:r>
        <w:rPr>
          <w:rFonts w:cs="Arial"/>
        </w:rPr>
        <w:t>Ther</w:t>
      </w:r>
      <w:r w:rsidR="00E97B15">
        <w:rPr>
          <w:rFonts w:cs="Arial"/>
        </w:rPr>
        <w:t>e</w:t>
      </w:r>
      <w:r>
        <w:rPr>
          <w:rFonts w:cs="Arial"/>
        </w:rPr>
        <w:t xml:space="preserve"> </w:t>
      </w:r>
      <w:r w:rsidR="00E97B15">
        <w:rPr>
          <w:rFonts w:cs="Arial"/>
        </w:rPr>
        <w:t xml:space="preserve">has been effort to collect data on digital exclusion and access to </w:t>
      </w:r>
      <w:r w:rsidR="002D286A">
        <w:rPr>
          <w:rFonts w:cs="Arial"/>
        </w:rPr>
        <w:t>services,</w:t>
      </w:r>
      <w:r w:rsidR="00E97B15">
        <w:rPr>
          <w:rFonts w:cs="Arial"/>
        </w:rPr>
        <w:t xml:space="preserve"> but d</w:t>
      </w:r>
      <w:r w:rsidRPr="0051406F">
        <w:rPr>
          <w:rFonts w:cs="Arial"/>
        </w:rPr>
        <w:t>ata exists in siloes</w:t>
      </w:r>
      <w:r w:rsidR="00A252CE">
        <w:rPr>
          <w:rFonts w:cs="Arial"/>
        </w:rPr>
        <w:t xml:space="preserve"> and</w:t>
      </w:r>
      <w:r w:rsidRPr="0051406F">
        <w:rPr>
          <w:rFonts w:cs="Arial"/>
        </w:rPr>
        <w:t xml:space="preserve"> is not easy to link at a patient level</w:t>
      </w:r>
      <w:r w:rsidR="00A252CE">
        <w:rPr>
          <w:rFonts w:cs="Arial"/>
        </w:rPr>
        <w:t>.</w:t>
      </w:r>
    </w:p>
    <w:p w14:paraId="309634B3" w14:textId="725E3204" w:rsidR="0051406F" w:rsidRPr="0050003F" w:rsidRDefault="0051406F" w:rsidP="008B53FA">
      <w:pPr>
        <w:pStyle w:val="ListParagraph"/>
        <w:numPr>
          <w:ilvl w:val="0"/>
          <w:numId w:val="29"/>
        </w:numPr>
        <w:rPr>
          <w:bCs/>
          <w:shd w:val="clear" w:color="auto" w:fill="FFFFFF"/>
        </w:rPr>
      </w:pPr>
      <w:r w:rsidRPr="0051406F">
        <w:rPr>
          <w:lang w:val="en-US"/>
        </w:rPr>
        <w:t>Data on ethnicity is unreliable, time intensive to collect</w:t>
      </w:r>
      <w:r w:rsidR="00A252CE">
        <w:rPr>
          <w:lang w:val="en-US"/>
        </w:rPr>
        <w:t>;</w:t>
      </w:r>
      <w:r w:rsidRPr="0051406F">
        <w:rPr>
          <w:lang w:val="en-US"/>
        </w:rPr>
        <w:t xml:space="preserve"> deprivation data is not available and data on protected characteristics also </w:t>
      </w:r>
      <w:r w:rsidR="001F1A74">
        <w:rPr>
          <w:lang w:val="en-US"/>
        </w:rPr>
        <w:t xml:space="preserve">is </w:t>
      </w:r>
      <w:r w:rsidRPr="0051406F">
        <w:rPr>
          <w:lang w:val="en-US"/>
        </w:rPr>
        <w:t>not available</w:t>
      </w:r>
      <w:r w:rsidR="001F1A74">
        <w:rPr>
          <w:lang w:val="en-US"/>
        </w:rPr>
        <w:t>.</w:t>
      </w:r>
    </w:p>
    <w:p w14:paraId="30246941" w14:textId="57DA44B8" w:rsidR="0050003F" w:rsidRPr="0051406F" w:rsidRDefault="0050003F" w:rsidP="008B53FA">
      <w:pPr>
        <w:pStyle w:val="ListParagraph"/>
        <w:numPr>
          <w:ilvl w:val="0"/>
          <w:numId w:val="29"/>
        </w:numPr>
        <w:rPr>
          <w:bCs/>
          <w:shd w:val="clear" w:color="auto" w:fill="FFFFFF"/>
        </w:rPr>
      </w:pPr>
      <w:r>
        <w:rPr>
          <w:lang w:val="en-US"/>
        </w:rPr>
        <w:t>Commercial sectors have not faced the same issues when collecting data</w:t>
      </w:r>
      <w:r w:rsidR="001F1A74">
        <w:rPr>
          <w:lang w:val="en-US"/>
        </w:rPr>
        <w:t>.</w:t>
      </w:r>
    </w:p>
    <w:p w14:paraId="40AF7469" w14:textId="1EFADAD9" w:rsidR="008B53FA" w:rsidRPr="00A252CE" w:rsidRDefault="0016072B" w:rsidP="00396F91">
      <w:pPr>
        <w:pStyle w:val="ListParagraph"/>
        <w:numPr>
          <w:ilvl w:val="0"/>
          <w:numId w:val="29"/>
        </w:numPr>
        <w:rPr>
          <w:bCs/>
          <w:shd w:val="clear" w:color="auto" w:fill="FFFFFF"/>
        </w:rPr>
      </w:pPr>
      <w:r>
        <w:t>E</w:t>
      </w:r>
      <w:r w:rsidR="0051406F" w:rsidRPr="0051406F">
        <w:t>xisting data is not sufficient for monitoring ‘digital exclusion’, as it does not identify</w:t>
      </w:r>
      <w:r w:rsidR="0051406F">
        <w:t xml:space="preserve"> patients who are not accessing health services at all</w:t>
      </w:r>
      <w:r w:rsidR="001F1A74">
        <w:t>.</w:t>
      </w:r>
    </w:p>
    <w:p w14:paraId="18AA770C" w14:textId="77777777" w:rsidR="00A252CE" w:rsidRPr="00A252CE" w:rsidRDefault="00A252CE" w:rsidP="00A252CE">
      <w:pPr>
        <w:pStyle w:val="ListParagraph"/>
        <w:rPr>
          <w:bCs/>
          <w:shd w:val="clear" w:color="auto" w:fill="FFFFFF"/>
        </w:rPr>
      </w:pPr>
    </w:p>
    <w:p w14:paraId="28F1D918" w14:textId="2034DA0B" w:rsidR="001233D4" w:rsidRDefault="00396F91" w:rsidP="001233D4">
      <w:pPr>
        <w:rPr>
          <w:b/>
          <w:shd w:val="clear" w:color="auto" w:fill="FFFFFF"/>
        </w:rPr>
      </w:pPr>
      <w:r>
        <w:rPr>
          <w:b/>
          <w:shd w:val="clear" w:color="auto" w:fill="FFFFFF"/>
        </w:rPr>
        <w:t>R</w:t>
      </w:r>
      <w:r w:rsidR="001233D4" w:rsidRPr="00BA2C12">
        <w:rPr>
          <w:b/>
          <w:shd w:val="clear" w:color="auto" w:fill="FFFFFF"/>
        </w:rPr>
        <w:t>ecommendations</w:t>
      </w:r>
    </w:p>
    <w:p w14:paraId="269D8B2D" w14:textId="7999FC93" w:rsidR="00A214EC" w:rsidRPr="00BA2C12" w:rsidRDefault="00A214EC" w:rsidP="001233D4">
      <w:pPr>
        <w:rPr>
          <w:b/>
          <w:shd w:val="clear" w:color="auto" w:fill="FFFFFF"/>
        </w:rPr>
      </w:pPr>
      <w:r>
        <w:rPr>
          <w:b/>
          <w:shd w:val="clear" w:color="auto" w:fill="FFFFFF"/>
        </w:rPr>
        <w:t>System</w:t>
      </w:r>
    </w:p>
    <w:p w14:paraId="4AAEC44B" w14:textId="22B1A550" w:rsidR="00E05822" w:rsidRPr="00E84324" w:rsidRDefault="00E05822" w:rsidP="00E84324">
      <w:pPr>
        <w:pStyle w:val="ListParagraph"/>
        <w:numPr>
          <w:ilvl w:val="0"/>
          <w:numId w:val="31"/>
        </w:numPr>
        <w:rPr>
          <w:color w:val="000000" w:themeColor="text1"/>
          <w:shd w:val="clear" w:color="auto" w:fill="FFFFFF"/>
        </w:rPr>
      </w:pPr>
      <w:r w:rsidRPr="00E84324">
        <w:rPr>
          <w:color w:val="000000" w:themeColor="text1"/>
          <w:shd w:val="clear" w:color="auto" w:fill="FFFFFF"/>
        </w:rPr>
        <w:t xml:space="preserve">The NHS should </w:t>
      </w:r>
      <w:r w:rsidR="004F041C" w:rsidRPr="00E84324">
        <w:rPr>
          <w:color w:val="000000" w:themeColor="text1"/>
          <w:shd w:val="clear" w:color="auto" w:fill="FFFFFF"/>
        </w:rPr>
        <w:t>call for</w:t>
      </w:r>
      <w:r w:rsidRPr="00E84324">
        <w:rPr>
          <w:color w:val="000000" w:themeColor="text1"/>
          <w:shd w:val="clear" w:color="auto" w:fill="FFFFFF"/>
        </w:rPr>
        <w:t xml:space="preserve"> better quality data and indicators to look to properly evaluate digital exclusion</w:t>
      </w:r>
      <w:r w:rsidR="00A252CE">
        <w:rPr>
          <w:color w:val="000000" w:themeColor="text1"/>
          <w:shd w:val="clear" w:color="auto" w:fill="FFFFFF"/>
        </w:rPr>
        <w:t>.</w:t>
      </w:r>
    </w:p>
    <w:p w14:paraId="058ED68E" w14:textId="45881617" w:rsidR="00BA2C12" w:rsidRPr="00E84324" w:rsidRDefault="00E05822" w:rsidP="00E84324">
      <w:pPr>
        <w:pStyle w:val="ListParagraph"/>
        <w:numPr>
          <w:ilvl w:val="0"/>
          <w:numId w:val="31"/>
        </w:numPr>
        <w:rPr>
          <w:color w:val="000000" w:themeColor="text1"/>
          <w:shd w:val="clear" w:color="auto" w:fill="FFFFFF"/>
        </w:rPr>
      </w:pPr>
      <w:r w:rsidRPr="00E84324">
        <w:rPr>
          <w:color w:val="000000" w:themeColor="text1"/>
          <w:shd w:val="clear" w:color="auto" w:fill="FFFFFF"/>
        </w:rPr>
        <w:t>Utilise this data to identify</w:t>
      </w:r>
      <w:r w:rsidR="00BA2C12" w:rsidRPr="00E84324">
        <w:rPr>
          <w:color w:val="000000" w:themeColor="text1"/>
          <w:shd w:val="clear" w:color="auto" w:fill="FFFFFF"/>
        </w:rPr>
        <w:t xml:space="preserve"> </w:t>
      </w:r>
      <w:r w:rsidRPr="00E84324">
        <w:rPr>
          <w:color w:val="000000" w:themeColor="text1"/>
          <w:shd w:val="clear" w:color="auto" w:fill="FFFFFF"/>
        </w:rPr>
        <w:t xml:space="preserve">and to design a metric </w:t>
      </w:r>
      <w:r w:rsidR="00A214EC" w:rsidRPr="00E84324">
        <w:rPr>
          <w:color w:val="000000" w:themeColor="text1"/>
          <w:shd w:val="clear" w:color="auto" w:fill="FFFFFF"/>
        </w:rPr>
        <w:t>that identifies people at risk of digital exclusion</w:t>
      </w:r>
      <w:r w:rsidRPr="00E84324">
        <w:rPr>
          <w:color w:val="000000" w:themeColor="text1"/>
          <w:shd w:val="clear" w:color="auto" w:fill="FFFFFF"/>
        </w:rPr>
        <w:t xml:space="preserve"> </w:t>
      </w:r>
      <w:r w:rsidR="002F11F0" w:rsidRPr="00E84324">
        <w:rPr>
          <w:color w:val="000000" w:themeColor="text1"/>
          <w:shd w:val="clear" w:color="auto" w:fill="FFFFFF"/>
        </w:rPr>
        <w:t>for</w:t>
      </w:r>
      <w:r w:rsidRPr="00E84324">
        <w:rPr>
          <w:color w:val="000000" w:themeColor="text1"/>
          <w:shd w:val="clear" w:color="auto" w:fill="FFFFFF"/>
        </w:rPr>
        <w:t xml:space="preserve"> proactive mitigation to be achieved.</w:t>
      </w:r>
    </w:p>
    <w:p w14:paraId="13684D25" w14:textId="3B613B0D" w:rsidR="00A214EC" w:rsidRPr="00E84324" w:rsidRDefault="00E05822" w:rsidP="00E84324">
      <w:pPr>
        <w:pStyle w:val="ListParagraph"/>
        <w:numPr>
          <w:ilvl w:val="0"/>
          <w:numId w:val="31"/>
        </w:numPr>
        <w:rPr>
          <w:color w:val="000000" w:themeColor="text1"/>
          <w:shd w:val="clear" w:color="auto" w:fill="FFFFFF"/>
        </w:rPr>
      </w:pPr>
      <w:r w:rsidRPr="00E84324">
        <w:rPr>
          <w:color w:val="000000" w:themeColor="text1"/>
          <w:shd w:val="clear" w:color="auto" w:fill="FFFFFF"/>
        </w:rPr>
        <w:t xml:space="preserve">Continuously </w:t>
      </w:r>
      <w:r w:rsidR="00A214EC" w:rsidRPr="00E84324">
        <w:rPr>
          <w:color w:val="000000" w:themeColor="text1"/>
          <w:shd w:val="clear" w:color="auto" w:fill="FFFFFF"/>
        </w:rPr>
        <w:t xml:space="preserve">monitor the impact of digitalisation of healthcare services on digital exclusion and </w:t>
      </w:r>
      <w:r w:rsidR="00D5496E" w:rsidRPr="00E84324">
        <w:rPr>
          <w:color w:val="000000" w:themeColor="text1"/>
          <w:shd w:val="clear" w:color="auto" w:fill="FFFFFF"/>
        </w:rPr>
        <w:t xml:space="preserve">ensure that any new services or tools are inclusive by design, co-designed with those groups identified by the </w:t>
      </w:r>
      <w:r w:rsidR="00E84324" w:rsidRPr="00E84324">
        <w:rPr>
          <w:color w:val="000000" w:themeColor="text1"/>
          <w:shd w:val="clear" w:color="auto" w:fill="FFFFFF"/>
        </w:rPr>
        <w:t>metric</w:t>
      </w:r>
      <w:r w:rsidR="00D5496E" w:rsidRPr="00E84324">
        <w:rPr>
          <w:color w:val="000000" w:themeColor="text1"/>
          <w:shd w:val="clear" w:color="auto" w:fill="FFFFFF"/>
        </w:rPr>
        <w:t xml:space="preserve">. </w:t>
      </w:r>
    </w:p>
    <w:p w14:paraId="1E60973B" w14:textId="5577639E" w:rsidR="00A214EC" w:rsidRPr="00E84324" w:rsidRDefault="006F7280" w:rsidP="00A214EC">
      <w:pPr>
        <w:rPr>
          <w:b/>
          <w:bCs/>
          <w:color w:val="000000" w:themeColor="text1"/>
          <w:shd w:val="clear" w:color="auto" w:fill="FFFFFF"/>
        </w:rPr>
      </w:pPr>
      <w:r w:rsidRPr="00E84324">
        <w:rPr>
          <w:b/>
          <w:bCs/>
          <w:color w:val="000000" w:themeColor="text1"/>
          <w:shd w:val="clear" w:color="auto" w:fill="FFFFFF"/>
        </w:rPr>
        <w:t>Place</w:t>
      </w:r>
    </w:p>
    <w:p w14:paraId="0FA8BEE6" w14:textId="76869499" w:rsidR="001F05B7" w:rsidRPr="00E84324" w:rsidRDefault="006E5BF6" w:rsidP="00E84324">
      <w:pPr>
        <w:pStyle w:val="ListParagraph"/>
        <w:numPr>
          <w:ilvl w:val="0"/>
          <w:numId w:val="32"/>
        </w:numPr>
        <w:rPr>
          <w:color w:val="000000" w:themeColor="text1"/>
          <w:shd w:val="clear" w:color="auto" w:fill="FFFFFF"/>
        </w:rPr>
      </w:pPr>
      <w:r w:rsidRPr="00E84324">
        <w:rPr>
          <w:color w:val="000000" w:themeColor="text1"/>
          <w:shd w:val="clear" w:color="auto" w:fill="FFFFFF"/>
        </w:rPr>
        <w:t>Tackling d</w:t>
      </w:r>
      <w:r w:rsidR="001233D4" w:rsidRPr="00E84324">
        <w:rPr>
          <w:color w:val="000000" w:themeColor="text1"/>
          <w:shd w:val="clear" w:color="auto" w:fill="FFFFFF"/>
        </w:rPr>
        <w:t>igital health inequality</w:t>
      </w:r>
      <w:r w:rsidRPr="00E84324">
        <w:rPr>
          <w:color w:val="000000" w:themeColor="text1"/>
          <w:shd w:val="clear" w:color="auto" w:fill="FFFFFF"/>
        </w:rPr>
        <w:t xml:space="preserve"> should be a key priority for all Integrated Care Systems</w:t>
      </w:r>
      <w:r w:rsidR="002A3D9D">
        <w:rPr>
          <w:color w:val="000000" w:themeColor="text1"/>
          <w:shd w:val="clear" w:color="auto" w:fill="FFFFFF"/>
        </w:rPr>
        <w:t xml:space="preserve"> and Boards</w:t>
      </w:r>
      <w:r w:rsidR="001233D4" w:rsidRPr="00E84324">
        <w:rPr>
          <w:color w:val="000000" w:themeColor="text1"/>
          <w:shd w:val="clear" w:color="auto" w:fill="FFFFFF"/>
        </w:rPr>
        <w:t>.</w:t>
      </w:r>
      <w:r w:rsidRPr="00E84324">
        <w:rPr>
          <w:color w:val="000000" w:themeColor="text1"/>
          <w:shd w:val="clear" w:color="auto" w:fill="FFFFFF"/>
        </w:rPr>
        <w:t xml:space="preserve"> All ICSs should aim to produce a strategy detailing how they will combat digital exclusion.</w:t>
      </w:r>
    </w:p>
    <w:p w14:paraId="57B03C45" w14:textId="3AC64968" w:rsidR="001F05B7" w:rsidRPr="00E84324" w:rsidRDefault="007F3766" w:rsidP="00E84324">
      <w:pPr>
        <w:pStyle w:val="ListParagraph"/>
        <w:numPr>
          <w:ilvl w:val="0"/>
          <w:numId w:val="32"/>
        </w:numPr>
        <w:rPr>
          <w:color w:val="000000" w:themeColor="text1"/>
          <w:shd w:val="clear" w:color="auto" w:fill="FFFFFF"/>
        </w:rPr>
      </w:pPr>
      <w:r w:rsidRPr="00E84324">
        <w:rPr>
          <w:color w:val="000000" w:themeColor="text1"/>
          <w:shd w:val="clear" w:color="auto" w:fill="FFFFFF"/>
        </w:rPr>
        <w:t xml:space="preserve">Collaborate with local organisations to empower, educate and enable those who are at risk of </w:t>
      </w:r>
      <w:r w:rsidRPr="00E84324">
        <w:rPr>
          <w:color w:val="000000" w:themeColor="text1"/>
          <w:shd w:val="clear" w:color="auto" w:fill="FFFFFF"/>
        </w:rPr>
        <w:lastRenderedPageBreak/>
        <w:t>digital exclusion to improve digital skills across the ICS</w:t>
      </w:r>
      <w:r w:rsidR="001F1A74" w:rsidRPr="00E84324">
        <w:rPr>
          <w:color w:val="000000" w:themeColor="text1"/>
          <w:shd w:val="clear" w:color="auto" w:fill="FFFFFF"/>
        </w:rPr>
        <w:t>.</w:t>
      </w:r>
    </w:p>
    <w:p w14:paraId="4E8B33C0" w14:textId="41D5AA80" w:rsidR="00A214EC" w:rsidRPr="00E84324" w:rsidRDefault="007F3766" w:rsidP="00E84324">
      <w:pPr>
        <w:pStyle w:val="ListParagraph"/>
        <w:numPr>
          <w:ilvl w:val="0"/>
          <w:numId w:val="32"/>
        </w:numPr>
        <w:rPr>
          <w:color w:val="000000" w:themeColor="text1"/>
          <w:shd w:val="clear" w:color="auto" w:fill="FFFFFF"/>
        </w:rPr>
      </w:pPr>
      <w:r w:rsidRPr="00E84324">
        <w:rPr>
          <w:color w:val="000000" w:themeColor="text1"/>
          <w:shd w:val="clear" w:color="auto" w:fill="FFFFFF"/>
        </w:rPr>
        <w:t xml:space="preserve">Create a network of digital health champions across the ICS who are dedicated to </w:t>
      </w:r>
      <w:r w:rsidR="009523F9" w:rsidRPr="00E84324">
        <w:rPr>
          <w:color w:val="000000" w:themeColor="text1"/>
          <w:shd w:val="clear" w:color="auto" w:fill="FFFFFF"/>
        </w:rPr>
        <w:t>creating digital inclusion</w:t>
      </w:r>
      <w:r w:rsidR="00A214EC" w:rsidRPr="00E84324">
        <w:rPr>
          <w:color w:val="000000" w:themeColor="text1"/>
          <w:shd w:val="clear" w:color="auto" w:fill="FFFFFF"/>
        </w:rPr>
        <w:t>.</w:t>
      </w:r>
    </w:p>
    <w:p w14:paraId="1F04FE2E" w14:textId="03ADE914" w:rsidR="001F05B7" w:rsidRPr="00E84324" w:rsidRDefault="000F77B3" w:rsidP="00D053C8">
      <w:pPr>
        <w:widowControl/>
        <w:autoSpaceDE/>
        <w:autoSpaceDN/>
        <w:adjustRightInd/>
        <w:spacing w:after="160"/>
        <w:rPr>
          <w:b/>
          <w:bCs/>
          <w:color w:val="000000" w:themeColor="text1"/>
          <w:shd w:val="clear" w:color="auto" w:fill="FFFFFF"/>
        </w:rPr>
      </w:pPr>
      <w:r w:rsidRPr="00E84324">
        <w:rPr>
          <w:b/>
          <w:bCs/>
          <w:color w:val="000000" w:themeColor="text1"/>
          <w:shd w:val="clear" w:color="auto" w:fill="FFFFFF"/>
        </w:rPr>
        <w:t>Cross</w:t>
      </w:r>
      <w:r w:rsidR="00E41A55" w:rsidRPr="00E84324">
        <w:rPr>
          <w:b/>
          <w:bCs/>
          <w:color w:val="000000" w:themeColor="text1"/>
          <w:shd w:val="clear" w:color="auto" w:fill="FFFFFF"/>
        </w:rPr>
        <w:t>-sect</w:t>
      </w:r>
      <w:r w:rsidR="00E84324">
        <w:rPr>
          <w:b/>
          <w:bCs/>
          <w:color w:val="000000" w:themeColor="text1"/>
          <w:shd w:val="clear" w:color="auto" w:fill="FFFFFF"/>
        </w:rPr>
        <w:t>or</w:t>
      </w:r>
    </w:p>
    <w:p w14:paraId="5885D928" w14:textId="6943A259" w:rsidR="00E41A55" w:rsidRPr="00E84324" w:rsidRDefault="00E41A55" w:rsidP="00E84324">
      <w:pPr>
        <w:pStyle w:val="ListParagraph"/>
        <w:widowControl/>
        <w:numPr>
          <w:ilvl w:val="0"/>
          <w:numId w:val="33"/>
        </w:numPr>
        <w:autoSpaceDE/>
        <w:autoSpaceDN/>
        <w:adjustRightInd/>
        <w:spacing w:after="160"/>
        <w:rPr>
          <w:color w:val="000000" w:themeColor="text1"/>
          <w:shd w:val="clear" w:color="auto" w:fill="FFFFFF"/>
        </w:rPr>
      </w:pPr>
      <w:r w:rsidRPr="00E84324">
        <w:rPr>
          <w:color w:val="000000" w:themeColor="text1"/>
          <w:shd w:val="clear" w:color="auto" w:fill="FFFFFF"/>
        </w:rPr>
        <w:t>E</w:t>
      </w:r>
      <w:r w:rsidR="007353F9" w:rsidRPr="00E84324">
        <w:rPr>
          <w:color w:val="000000" w:themeColor="text1"/>
          <w:shd w:val="clear" w:color="auto" w:fill="FFFFFF"/>
        </w:rPr>
        <w:t xml:space="preserve">mbed digital inclusion </w:t>
      </w:r>
      <w:r w:rsidR="00E84324" w:rsidRPr="00E84324">
        <w:rPr>
          <w:color w:val="000000" w:themeColor="text1"/>
          <w:shd w:val="clear" w:color="auto" w:fill="FFFFFF"/>
        </w:rPr>
        <w:t>into</w:t>
      </w:r>
      <w:r w:rsidRPr="00E84324">
        <w:rPr>
          <w:color w:val="000000" w:themeColor="text1"/>
          <w:shd w:val="clear" w:color="auto" w:fill="FFFFFF"/>
        </w:rPr>
        <w:t xml:space="preserve"> all reintroduction and recovery strategies from the pandemic. Joint place-based and system approaches are essential to eradicate digital exclusion.</w:t>
      </w:r>
    </w:p>
    <w:p w14:paraId="1EA2AF72" w14:textId="09144F01" w:rsidR="00E41A55" w:rsidRPr="00E84324" w:rsidRDefault="007353F9" w:rsidP="00E84324">
      <w:pPr>
        <w:pStyle w:val="ListParagraph"/>
        <w:numPr>
          <w:ilvl w:val="0"/>
          <w:numId w:val="33"/>
        </w:numPr>
        <w:rPr>
          <w:color w:val="000000" w:themeColor="text1"/>
          <w:shd w:val="clear" w:color="auto" w:fill="FFFFFF"/>
        </w:rPr>
      </w:pPr>
      <w:r w:rsidRPr="00E84324">
        <w:rPr>
          <w:color w:val="000000" w:themeColor="text1"/>
          <w:shd w:val="clear" w:color="auto" w:fill="FFFFFF"/>
        </w:rPr>
        <w:t>Healthcare organisations should</w:t>
      </w:r>
      <w:r w:rsidR="00E41A55" w:rsidRPr="00E84324">
        <w:rPr>
          <w:color w:val="000000" w:themeColor="text1"/>
          <w:shd w:val="clear" w:color="auto" w:fill="FFFFFF"/>
        </w:rPr>
        <w:t xml:space="preserve"> partner with the local authority, social care and voluntary sector organisations to identify people at risk of digital exclusion and discuss and implement plans to mitigate this.</w:t>
      </w:r>
    </w:p>
    <w:p w14:paraId="51540077" w14:textId="141FAA3C" w:rsidR="00E41A55" w:rsidRPr="00E84324" w:rsidRDefault="007353F9" w:rsidP="00E84324">
      <w:pPr>
        <w:pStyle w:val="ListParagraph"/>
        <w:widowControl/>
        <w:numPr>
          <w:ilvl w:val="0"/>
          <w:numId w:val="33"/>
        </w:numPr>
        <w:autoSpaceDE/>
        <w:autoSpaceDN/>
        <w:adjustRightInd/>
        <w:spacing w:after="160"/>
        <w:rPr>
          <w:color w:val="000000" w:themeColor="text1"/>
          <w:shd w:val="clear" w:color="auto" w:fill="FFFFFF"/>
        </w:rPr>
      </w:pPr>
      <w:r w:rsidRPr="00E84324">
        <w:rPr>
          <w:color w:val="000000" w:themeColor="text1"/>
          <w:shd w:val="clear" w:color="auto" w:fill="FFFFFF"/>
        </w:rPr>
        <w:t>As digital based system</w:t>
      </w:r>
      <w:r w:rsidR="00A252CE">
        <w:rPr>
          <w:color w:val="000000" w:themeColor="text1"/>
          <w:shd w:val="clear" w:color="auto" w:fill="FFFFFF"/>
        </w:rPr>
        <w:t>s</w:t>
      </w:r>
      <w:r w:rsidRPr="00E84324">
        <w:rPr>
          <w:color w:val="000000" w:themeColor="text1"/>
          <w:shd w:val="clear" w:color="auto" w:fill="FFFFFF"/>
        </w:rPr>
        <w:t xml:space="preserve"> across all systems become mainstream ways of access, population digital health literacy must become a priority for all sectors to recognise as their responsibility.</w:t>
      </w:r>
    </w:p>
    <w:p w14:paraId="36D66D74" w14:textId="77777777" w:rsidR="00DF3485" w:rsidRDefault="00DF3485" w:rsidP="00D053C8">
      <w:pPr>
        <w:widowControl/>
        <w:autoSpaceDE/>
        <w:autoSpaceDN/>
        <w:adjustRightInd/>
        <w:spacing w:after="160"/>
        <w:rPr>
          <w:color w:val="auto"/>
          <w:shd w:val="clear" w:color="auto" w:fill="FFFFFF"/>
        </w:rPr>
      </w:pPr>
    </w:p>
    <w:p w14:paraId="0A406556" w14:textId="0814D68A" w:rsidR="00BC093C" w:rsidRDefault="00D64164" w:rsidP="00E97B15">
      <w:pPr>
        <w:widowControl/>
        <w:autoSpaceDE/>
        <w:autoSpaceDN/>
        <w:adjustRightInd/>
        <w:spacing w:after="160" w:line="259" w:lineRule="auto"/>
        <w:jc w:val="left"/>
        <w:rPr>
          <w:rFonts w:eastAsiaTheme="majorEastAsia"/>
          <w:color w:val="auto"/>
          <w:sz w:val="26"/>
          <w:szCs w:val="26"/>
        </w:rPr>
      </w:pPr>
      <w:r>
        <w:rPr>
          <w:color w:val="auto"/>
        </w:rPr>
        <w:br w:type="page"/>
      </w:r>
      <w:r w:rsidR="00AF2226" w:rsidRPr="00AF2226">
        <w:rPr>
          <w:b/>
          <w:bCs/>
          <w:color w:val="auto"/>
        </w:rPr>
        <w:lastRenderedPageBreak/>
        <w:t>References</w:t>
      </w:r>
    </w:p>
    <w:p w14:paraId="649D5641" w14:textId="77777777" w:rsidR="004F150A" w:rsidRPr="004F150A" w:rsidRDefault="00BC093C" w:rsidP="002A3D9D">
      <w:pPr>
        <w:pStyle w:val="EndNoteBibliography"/>
        <w:spacing w:after="0"/>
        <w:ind w:left="720" w:hanging="720"/>
      </w:pPr>
      <w:r>
        <w:rPr>
          <w:rFonts w:eastAsiaTheme="majorEastAsia"/>
          <w:color w:val="auto"/>
          <w:sz w:val="26"/>
          <w:szCs w:val="26"/>
        </w:rPr>
        <w:fldChar w:fldCharType="begin"/>
      </w:r>
      <w:r>
        <w:rPr>
          <w:rFonts w:eastAsiaTheme="majorEastAsia"/>
          <w:color w:val="auto"/>
          <w:sz w:val="26"/>
          <w:szCs w:val="26"/>
        </w:rPr>
        <w:instrText xml:space="preserve"> ADDIN EN.REFLIST </w:instrText>
      </w:r>
      <w:r>
        <w:rPr>
          <w:rFonts w:eastAsiaTheme="majorEastAsia"/>
          <w:color w:val="auto"/>
          <w:sz w:val="26"/>
          <w:szCs w:val="26"/>
        </w:rPr>
        <w:fldChar w:fldCharType="separate"/>
      </w:r>
      <w:r w:rsidR="004F150A" w:rsidRPr="004F150A">
        <w:t>1.</w:t>
      </w:r>
      <w:r w:rsidR="004F150A" w:rsidRPr="004F150A">
        <w:tab/>
        <w:t xml:space="preserve">Bambra, C., et al., </w:t>
      </w:r>
      <w:r w:rsidR="004F150A" w:rsidRPr="004F150A">
        <w:rPr>
          <w:i/>
        </w:rPr>
        <w:t>The COVID-19 pandemic and health inequalities.</w:t>
      </w:r>
      <w:r w:rsidR="004F150A" w:rsidRPr="004F150A">
        <w:t xml:space="preserve"> J Epidemiol Community Health, 2020. </w:t>
      </w:r>
      <w:r w:rsidR="004F150A" w:rsidRPr="004F150A">
        <w:rPr>
          <w:b/>
        </w:rPr>
        <w:t>74</w:t>
      </w:r>
      <w:r w:rsidR="004F150A" w:rsidRPr="004F150A">
        <w:t>(11): p. 964-968.</w:t>
      </w:r>
    </w:p>
    <w:p w14:paraId="08CDFC18" w14:textId="77777777" w:rsidR="004F150A" w:rsidRPr="004F150A" w:rsidRDefault="004F150A" w:rsidP="002A3D9D">
      <w:pPr>
        <w:pStyle w:val="EndNoteBibliography"/>
        <w:spacing w:after="0"/>
        <w:ind w:left="720" w:hanging="720"/>
      </w:pPr>
      <w:r w:rsidRPr="004F150A">
        <w:t>2.</w:t>
      </w:r>
      <w:r w:rsidRPr="004F150A">
        <w:tab/>
        <w:t xml:space="preserve">Brettle, A., et al., </w:t>
      </w:r>
      <w:r w:rsidRPr="004F150A">
        <w:rPr>
          <w:i/>
        </w:rPr>
        <w:t>Telehealth: The effects on clinical outcomes, cost effectiveness, and patient experience: a systematic overview of the literature</w:t>
      </w:r>
      <w:r w:rsidRPr="004F150A">
        <w:t>. 2013, University of Salford: Manchester.</w:t>
      </w:r>
    </w:p>
    <w:p w14:paraId="5B56D01D" w14:textId="77777777" w:rsidR="004F150A" w:rsidRPr="004F150A" w:rsidRDefault="004F150A" w:rsidP="002A3D9D">
      <w:pPr>
        <w:pStyle w:val="EndNoteBibliography"/>
        <w:spacing w:after="0"/>
        <w:ind w:left="720" w:hanging="720"/>
      </w:pPr>
      <w:r w:rsidRPr="004F150A">
        <w:t>3.</w:t>
      </w:r>
      <w:r w:rsidRPr="004F150A">
        <w:tab/>
        <w:t xml:space="preserve">Flodgren, G., et al., </w:t>
      </w:r>
      <w:r w:rsidRPr="004F150A">
        <w:rPr>
          <w:i/>
        </w:rPr>
        <w:t>Interactive telemedicine: effects on professional practice and health care outcomes.</w:t>
      </w:r>
      <w:r w:rsidRPr="004F150A">
        <w:t xml:space="preserve"> Cochrane Database Syst Rev, 2015. </w:t>
      </w:r>
      <w:r w:rsidRPr="004F150A">
        <w:rPr>
          <w:b/>
        </w:rPr>
        <w:t>2015</w:t>
      </w:r>
      <w:r w:rsidRPr="004F150A">
        <w:t>(9): p. Cd002098.</w:t>
      </w:r>
    </w:p>
    <w:p w14:paraId="6AB0195B" w14:textId="77777777" w:rsidR="004F150A" w:rsidRPr="004F150A" w:rsidRDefault="004F150A" w:rsidP="002A3D9D">
      <w:pPr>
        <w:pStyle w:val="EndNoteBibliography"/>
        <w:spacing w:after="0"/>
        <w:ind w:left="720" w:hanging="720"/>
      </w:pPr>
      <w:r w:rsidRPr="004F150A">
        <w:t>4.</w:t>
      </w:r>
      <w:r w:rsidRPr="004F150A">
        <w:tab/>
        <w:t xml:space="preserve">Inglis, S.C., et al., </w:t>
      </w:r>
      <w:r w:rsidRPr="004F150A">
        <w:rPr>
          <w:i/>
        </w:rPr>
        <w:t>Which components of heart failure programmes are effective? A systematic review and meta-analysis of the outcomes of structured telephone support or telemonitoring as the primary component of chronic heart failure management in 8323 patients: Abridged Cochrane Review.</w:t>
      </w:r>
      <w:r w:rsidRPr="004F150A">
        <w:t xml:space="preserve"> Eur J Heart Fail, 2011. </w:t>
      </w:r>
      <w:r w:rsidRPr="004F150A">
        <w:rPr>
          <w:b/>
        </w:rPr>
        <w:t>13</w:t>
      </w:r>
      <w:r w:rsidRPr="004F150A">
        <w:t>(9): p. 1028-40.</w:t>
      </w:r>
    </w:p>
    <w:p w14:paraId="60A85DC5" w14:textId="1B9600BF" w:rsidR="004F150A" w:rsidRPr="00E56750" w:rsidRDefault="004F150A" w:rsidP="002A3D9D">
      <w:pPr>
        <w:pStyle w:val="EndNoteBibliography"/>
        <w:ind w:left="720" w:hanging="720"/>
        <w:rPr>
          <w:i/>
        </w:rPr>
      </w:pPr>
      <w:r w:rsidRPr="004F150A">
        <w:t>5.</w:t>
      </w:r>
      <w:r w:rsidRPr="004F150A">
        <w:tab/>
        <w:t xml:space="preserve">Honeyman, M., et al., </w:t>
      </w:r>
      <w:r w:rsidRPr="004F150A">
        <w:rPr>
          <w:i/>
        </w:rPr>
        <w:t>Digitaltechnology and health inequalities: a scoping review</w:t>
      </w:r>
      <w:r w:rsidRPr="004F150A">
        <w:t>. 2020, PublicHealth Wales NHS Trust: Cardiff.</w:t>
      </w:r>
    </w:p>
    <w:p w14:paraId="5C6E5629" w14:textId="77777777" w:rsidR="004F150A" w:rsidRPr="004F150A" w:rsidRDefault="004F150A" w:rsidP="002A3D9D">
      <w:pPr>
        <w:pStyle w:val="EndNoteBibliography"/>
        <w:spacing w:after="0"/>
        <w:ind w:left="720" w:hanging="720"/>
      </w:pPr>
      <w:r w:rsidRPr="004F150A">
        <w:t>6.</w:t>
      </w:r>
      <w:r w:rsidRPr="004F150A">
        <w:tab/>
      </w:r>
      <w:r w:rsidRPr="004F150A">
        <w:rPr>
          <w:i/>
        </w:rPr>
        <w:t>The NHS Long Term Plan</w:t>
      </w:r>
      <w:r w:rsidRPr="004F150A">
        <w:t>. 2019.</w:t>
      </w:r>
    </w:p>
    <w:p w14:paraId="10F3BE92" w14:textId="74F615CC" w:rsidR="004F150A" w:rsidRPr="00E56750" w:rsidRDefault="004F150A" w:rsidP="002A3D9D">
      <w:pPr>
        <w:pStyle w:val="EndNoteBibliography"/>
        <w:ind w:left="720" w:hanging="720"/>
        <w:rPr>
          <w:i/>
        </w:rPr>
      </w:pPr>
      <w:r w:rsidRPr="004F150A">
        <w:t>7.</w:t>
      </w:r>
      <w:r w:rsidRPr="004F150A">
        <w:tab/>
        <w:t>care, U.D.o.H.a.S.,</w:t>
      </w:r>
      <w:r w:rsidRPr="004F150A">
        <w:rPr>
          <w:i/>
        </w:rPr>
        <w:t> Policy paper. The futureof healthcare: our vision for digital, data and technology in health and care.</w:t>
      </w:r>
      <w:r w:rsidRPr="004F150A">
        <w:t xml:space="preserve"> 2018.</w:t>
      </w:r>
    </w:p>
    <w:p w14:paraId="1F2036AD" w14:textId="77777777" w:rsidR="004F150A" w:rsidRPr="004F150A" w:rsidRDefault="004F150A" w:rsidP="002A3D9D">
      <w:pPr>
        <w:pStyle w:val="EndNoteBibliography"/>
        <w:spacing w:after="0"/>
        <w:ind w:left="720" w:hanging="720"/>
      </w:pPr>
      <w:r w:rsidRPr="004F150A">
        <w:t>8.</w:t>
      </w:r>
      <w:r w:rsidRPr="004F150A">
        <w:tab/>
        <w:t xml:space="preserve">Spencer, C. and J. Oung, </w:t>
      </w:r>
      <w:r w:rsidRPr="004F150A">
        <w:rPr>
          <w:i/>
        </w:rPr>
        <w:t>‘How has lockdown affected general practice and where do we go from here?'</w:t>
      </w:r>
      <w:r w:rsidRPr="004F150A">
        <w:t xml:space="preserve">, in </w:t>
      </w:r>
      <w:r w:rsidRPr="004F150A">
        <w:rPr>
          <w:i/>
        </w:rPr>
        <w:t>Nuffield Trust blog</w:t>
      </w:r>
      <w:r w:rsidRPr="004F150A">
        <w:t>. 2020.</w:t>
      </w:r>
    </w:p>
    <w:p w14:paraId="6AC7DA3D" w14:textId="77777777" w:rsidR="004F150A" w:rsidRPr="004F150A" w:rsidRDefault="004F150A" w:rsidP="002A3D9D">
      <w:pPr>
        <w:pStyle w:val="EndNoteBibliography"/>
        <w:spacing w:after="0"/>
        <w:ind w:left="720" w:hanging="720"/>
      </w:pPr>
      <w:r w:rsidRPr="004F150A">
        <w:t>9.</w:t>
      </w:r>
      <w:r w:rsidRPr="004F150A">
        <w:tab/>
        <w:t xml:space="preserve">Peacock M, B.P., Owen J, </w:t>
      </w:r>
      <w:r w:rsidRPr="004F150A">
        <w:rPr>
          <w:i/>
        </w:rPr>
        <w:t>Dependency denied: Health inequalities in the neo-liberal era.</w:t>
      </w:r>
      <w:r w:rsidRPr="004F150A">
        <w:t xml:space="preserve"> Social Science &amp; Medicine, 118, 2014: p. 173 -180.</w:t>
      </w:r>
    </w:p>
    <w:p w14:paraId="052103C8" w14:textId="77777777" w:rsidR="004F150A" w:rsidRPr="004F150A" w:rsidRDefault="004F150A" w:rsidP="002A3D9D">
      <w:pPr>
        <w:pStyle w:val="EndNoteBibliography"/>
        <w:spacing w:after="0"/>
        <w:ind w:left="720" w:hanging="720"/>
      </w:pPr>
      <w:r w:rsidRPr="004F150A">
        <w:t>10.</w:t>
      </w:r>
      <w:r w:rsidRPr="004F150A">
        <w:tab/>
        <w:t xml:space="preserve">Rich, E., A. Miah, and S. Lewis, </w:t>
      </w:r>
      <w:r w:rsidRPr="004F150A">
        <w:rPr>
          <w:i/>
        </w:rPr>
        <w:t>Is digital health care more equitable? The framing of health inequalities within England's digital health policy 2010–2017.</w:t>
      </w:r>
      <w:r w:rsidRPr="004F150A">
        <w:t xml:space="preserve"> Sociology of Health &amp; Illness, 2019. </w:t>
      </w:r>
      <w:r w:rsidRPr="004F150A">
        <w:rPr>
          <w:b/>
        </w:rPr>
        <w:t>41</w:t>
      </w:r>
      <w:r w:rsidRPr="004F150A">
        <w:t>(S1): p. 31-49.</w:t>
      </w:r>
    </w:p>
    <w:p w14:paraId="71458C25" w14:textId="77777777" w:rsidR="004F150A" w:rsidRPr="004F150A" w:rsidRDefault="004F150A" w:rsidP="002A3D9D">
      <w:pPr>
        <w:pStyle w:val="EndNoteBibliography"/>
        <w:spacing w:after="0"/>
        <w:ind w:left="720" w:hanging="720"/>
      </w:pPr>
      <w:r w:rsidRPr="004F150A">
        <w:t>11.</w:t>
      </w:r>
      <w:r w:rsidRPr="004F150A">
        <w:tab/>
        <w:t xml:space="preserve">Iacobucci, G., </w:t>
      </w:r>
      <w:r w:rsidRPr="004F150A">
        <w:rPr>
          <w:i/>
        </w:rPr>
        <w:t>GPs in deprived areas face severest pressures, analysis shows.</w:t>
      </w:r>
      <w:r w:rsidRPr="004F150A">
        <w:t xml:space="preserve"> BMJ, 2019. </w:t>
      </w:r>
      <w:r w:rsidRPr="004F150A">
        <w:rPr>
          <w:b/>
        </w:rPr>
        <w:t>365</w:t>
      </w:r>
      <w:r w:rsidRPr="004F150A">
        <w:t>: p. l2104.</w:t>
      </w:r>
    </w:p>
    <w:p w14:paraId="4A79797C" w14:textId="38A6E042" w:rsidR="004F150A" w:rsidRPr="00E56750" w:rsidRDefault="004F150A" w:rsidP="002A3D9D">
      <w:pPr>
        <w:pStyle w:val="EndNoteBibliography"/>
        <w:ind w:left="720" w:hanging="720"/>
        <w:rPr>
          <w:i/>
        </w:rPr>
      </w:pPr>
      <w:r w:rsidRPr="004F150A">
        <w:t>12.</w:t>
      </w:r>
      <w:r w:rsidRPr="004F150A">
        <w:tab/>
        <w:t xml:space="preserve">Marmot, M., et al., </w:t>
      </w:r>
      <w:r w:rsidRPr="004F150A">
        <w:rPr>
          <w:i/>
        </w:rPr>
        <w:t>BuildBack Fairer: The COVID-19 Marmot Review. The Pandemic, Socioeconomic and Health Inequalities in England</w:t>
      </w:r>
      <w:r w:rsidRPr="004F150A">
        <w:t>. 2020: London.</w:t>
      </w:r>
    </w:p>
    <w:p w14:paraId="10073D1B" w14:textId="77777777" w:rsidR="004F150A" w:rsidRPr="004F150A" w:rsidRDefault="004F150A" w:rsidP="002A3D9D">
      <w:pPr>
        <w:pStyle w:val="EndNoteBibliography"/>
        <w:spacing w:after="0"/>
        <w:ind w:left="720" w:hanging="720"/>
      </w:pPr>
      <w:r w:rsidRPr="004F150A">
        <w:t>13.</w:t>
      </w:r>
      <w:r w:rsidRPr="004F150A">
        <w:tab/>
        <w:t xml:space="preserve">Digital, N., </w:t>
      </w:r>
      <w:r w:rsidRPr="004F150A">
        <w:rPr>
          <w:i/>
        </w:rPr>
        <w:t>Digital inclusion guide for health and social care</w:t>
      </w:r>
      <w:r w:rsidRPr="004F150A">
        <w:t>. 2019.</w:t>
      </w:r>
    </w:p>
    <w:p w14:paraId="13FF18C8" w14:textId="60862A9F" w:rsidR="004F150A" w:rsidRPr="004F150A" w:rsidRDefault="004F150A" w:rsidP="002A3D9D">
      <w:pPr>
        <w:pStyle w:val="EndNoteBibliography"/>
        <w:ind w:left="720" w:hanging="720"/>
        <w:rPr>
          <w:i/>
        </w:rPr>
      </w:pPr>
      <w:r w:rsidRPr="004F150A">
        <w:t>14.</w:t>
      </w:r>
      <w:r w:rsidRPr="004F150A">
        <w:tab/>
        <w:t xml:space="preserve">England, H.E. </w:t>
      </w:r>
      <w:r w:rsidRPr="004F150A">
        <w:rPr>
          <w:i/>
        </w:rPr>
        <w:t>Preparing the healthcare workforce to deliver</w:t>
      </w:r>
      <w:r>
        <w:rPr>
          <w:i/>
        </w:rPr>
        <w:t xml:space="preserve"> </w:t>
      </w:r>
      <w:r w:rsidRPr="004F150A">
        <w:rPr>
          <w:i/>
        </w:rPr>
        <w:t>the digital future</w:t>
      </w:r>
      <w:r w:rsidRPr="004F150A">
        <w:t xml:space="preserve">. 2019  [cited 2021 10th July]; Available from: </w:t>
      </w:r>
      <w:hyperlink r:id="rId9" w:history="1">
        <w:r w:rsidRPr="004F150A">
          <w:rPr>
            <w:rStyle w:val="Hyperlink"/>
          </w:rPr>
          <w:t>https://topol.hee.nhs.uk</w:t>
        </w:r>
      </w:hyperlink>
      <w:r w:rsidRPr="004F150A">
        <w:t>.</w:t>
      </w:r>
    </w:p>
    <w:p w14:paraId="092075CC" w14:textId="2A1922B5" w:rsidR="004F150A" w:rsidRPr="004F150A" w:rsidRDefault="004F150A" w:rsidP="002A3D9D">
      <w:pPr>
        <w:pStyle w:val="EndNoteBibliography"/>
        <w:ind w:left="720" w:hanging="720"/>
        <w:rPr>
          <w:i/>
        </w:rPr>
      </w:pPr>
      <w:r w:rsidRPr="004F150A">
        <w:t>15.</w:t>
      </w:r>
      <w:r w:rsidRPr="004F150A">
        <w:tab/>
        <w:t xml:space="preserve">Bakhai, M., et al., </w:t>
      </w:r>
      <w:r w:rsidRPr="004F150A">
        <w:rPr>
          <w:i/>
        </w:rPr>
        <w:t>Using</w:t>
      </w:r>
      <w:r>
        <w:rPr>
          <w:i/>
        </w:rPr>
        <w:t xml:space="preserve"> </w:t>
      </w:r>
      <w:r w:rsidRPr="004F150A">
        <w:rPr>
          <w:i/>
        </w:rPr>
        <w:t>Online Consultations In Primary Care</w:t>
      </w:r>
      <w:r w:rsidRPr="004F150A">
        <w:t>. 2020, NHS England.</w:t>
      </w:r>
    </w:p>
    <w:p w14:paraId="02D26C68" w14:textId="7EF3F8D9" w:rsidR="004F150A" w:rsidRPr="004F150A" w:rsidRDefault="004F150A" w:rsidP="002A3D9D">
      <w:pPr>
        <w:pStyle w:val="EndNoteBibliography"/>
        <w:ind w:left="720" w:hanging="720"/>
        <w:rPr>
          <w:i/>
        </w:rPr>
      </w:pPr>
      <w:r w:rsidRPr="004F150A">
        <w:t>16.</w:t>
      </w:r>
      <w:r w:rsidRPr="004F150A">
        <w:tab/>
      </w:r>
      <w:r w:rsidR="00491532">
        <w:t>NHS England</w:t>
      </w:r>
      <w:r w:rsidRPr="004F150A">
        <w:t xml:space="preserve">. </w:t>
      </w:r>
      <w:r w:rsidRPr="004F150A">
        <w:rPr>
          <w:i/>
        </w:rPr>
        <w:t>Implementing phase 3 of the NHS response to the</w:t>
      </w:r>
      <w:r>
        <w:rPr>
          <w:i/>
        </w:rPr>
        <w:t xml:space="preserve"> </w:t>
      </w:r>
      <w:r w:rsidRPr="004F150A">
        <w:rPr>
          <w:i/>
        </w:rPr>
        <w:t>COVID-19 pandemic &lt;p class="MsoListParagraph" style="text-indent:-18.0pt;line-height:115%;</w:t>
      </w:r>
      <w:r>
        <w:rPr>
          <w:i/>
        </w:rPr>
        <w:t xml:space="preserve"> </w:t>
      </w:r>
      <w:r w:rsidRPr="004F150A">
        <w:rPr>
          <w:i/>
        </w:rPr>
        <w:t>mso-list:l0 level1 lfo1"&gt;</w:t>
      </w:r>
      <w:r w:rsidRPr="004F150A">
        <w:t>. 2020, NHS England.</w:t>
      </w:r>
    </w:p>
    <w:p w14:paraId="4D793764" w14:textId="04AACA07" w:rsidR="004F150A" w:rsidRPr="004F150A" w:rsidRDefault="004F150A" w:rsidP="002A3D9D">
      <w:pPr>
        <w:pStyle w:val="EndNoteBibliography"/>
        <w:spacing w:after="0"/>
        <w:ind w:left="720" w:hanging="720"/>
      </w:pPr>
      <w:r w:rsidRPr="004F150A">
        <w:t>17.</w:t>
      </w:r>
      <w:r w:rsidRPr="004F150A">
        <w:tab/>
      </w:r>
      <w:r w:rsidR="00491532">
        <w:t>NHS England</w:t>
      </w:r>
      <w:r w:rsidRPr="004F150A">
        <w:t xml:space="preserve">, </w:t>
      </w:r>
      <w:r w:rsidRPr="004F150A">
        <w:rPr>
          <w:i/>
        </w:rPr>
        <w:t>2021/22 priorities and operational planning guidance</w:t>
      </w:r>
      <w:r w:rsidRPr="004F150A">
        <w:t>. 2021, NHS England.</w:t>
      </w:r>
    </w:p>
    <w:p w14:paraId="4D6F8446" w14:textId="27D169AE" w:rsidR="004F150A" w:rsidRPr="00491532" w:rsidRDefault="004F150A" w:rsidP="002A3D9D">
      <w:pPr>
        <w:pStyle w:val="EndNoteBibliography"/>
        <w:ind w:left="720" w:hanging="720"/>
        <w:rPr>
          <w:i/>
        </w:rPr>
      </w:pPr>
      <w:r w:rsidRPr="004F150A">
        <w:t>18.</w:t>
      </w:r>
      <w:r w:rsidRPr="004F150A">
        <w:tab/>
        <w:t xml:space="preserve">England, N., </w:t>
      </w:r>
      <w:r w:rsidRPr="004F150A">
        <w:rPr>
          <w:i/>
        </w:rPr>
        <w:t>2021/22priorities and operational planning guidance: Implementation guidance.</w:t>
      </w:r>
      <w:r w:rsidRPr="004F150A">
        <w:t xml:space="preserve"> 2021, NHS England.</w:t>
      </w:r>
    </w:p>
    <w:p w14:paraId="097F4FBA" w14:textId="0ED18EE7" w:rsidR="004F150A" w:rsidRPr="004F150A" w:rsidRDefault="004F150A" w:rsidP="002A3D9D">
      <w:pPr>
        <w:pStyle w:val="EndNoteBibliography"/>
        <w:ind w:left="720" w:hanging="720"/>
        <w:rPr>
          <w:i/>
        </w:rPr>
      </w:pPr>
      <w:r w:rsidRPr="004F150A">
        <w:t>19.</w:t>
      </w:r>
      <w:r w:rsidRPr="004F150A">
        <w:tab/>
      </w:r>
      <w:r w:rsidR="00491532">
        <w:t xml:space="preserve">NHS </w:t>
      </w:r>
      <w:r w:rsidRPr="004F150A">
        <w:t xml:space="preserve">England, </w:t>
      </w:r>
      <w:r w:rsidRPr="004F150A">
        <w:rPr>
          <w:i/>
        </w:rPr>
        <w:t>Supporting</w:t>
      </w:r>
      <w:r>
        <w:rPr>
          <w:i/>
        </w:rPr>
        <w:t xml:space="preserve"> </w:t>
      </w:r>
      <w:r w:rsidRPr="004F150A">
        <w:rPr>
          <w:i/>
        </w:rPr>
        <w:t>pregnant women using maternity services during the coronavirus pandemic:</w:t>
      </w:r>
      <w:r>
        <w:rPr>
          <w:i/>
        </w:rPr>
        <w:t xml:space="preserve"> </w:t>
      </w:r>
      <w:r w:rsidRPr="004F150A">
        <w:rPr>
          <w:i/>
        </w:rPr>
        <w:t>actions for NHS providers Version 2, 15 April 2021</w:t>
      </w:r>
      <w:r w:rsidRPr="004F150A">
        <w:t>. 2021, NHS England.</w:t>
      </w:r>
    </w:p>
    <w:p w14:paraId="02C9A556" w14:textId="51358114" w:rsidR="004F150A" w:rsidRPr="004F150A" w:rsidRDefault="004F150A" w:rsidP="002A3D9D">
      <w:pPr>
        <w:pStyle w:val="EndNoteBibliography"/>
        <w:ind w:left="720" w:hanging="720"/>
        <w:rPr>
          <w:i/>
        </w:rPr>
      </w:pPr>
      <w:r w:rsidRPr="004F150A">
        <w:t>20.</w:t>
      </w:r>
      <w:r w:rsidRPr="004F150A">
        <w:tab/>
      </w:r>
      <w:r w:rsidR="00491532">
        <w:t xml:space="preserve">NHS </w:t>
      </w:r>
      <w:r w:rsidRPr="004F150A">
        <w:t>England</w:t>
      </w:r>
      <w:r w:rsidR="00491532">
        <w:t>,</w:t>
      </w:r>
      <w:r w:rsidRPr="004F150A">
        <w:t xml:space="preserve"> </w:t>
      </w:r>
      <w:r w:rsidRPr="004F150A">
        <w:rPr>
          <w:i/>
        </w:rPr>
        <w:t>Clinicalprioritisation of waiting lists for endoscopy and diagnostic procedures</w:t>
      </w:r>
      <w:r>
        <w:rPr>
          <w:i/>
        </w:rPr>
        <w:t xml:space="preserve"> </w:t>
      </w:r>
      <w:r w:rsidRPr="004F150A">
        <w:rPr>
          <w:i/>
        </w:rPr>
        <w:t>Framework and operational guidance Version 2, June 2021</w:t>
      </w:r>
      <w:r w:rsidRPr="004F150A">
        <w:t>. 2021, NHS England.</w:t>
      </w:r>
    </w:p>
    <w:p w14:paraId="3316EB13" w14:textId="0CA5C192" w:rsidR="004F150A" w:rsidRPr="004F150A" w:rsidRDefault="004F150A" w:rsidP="002A3D9D">
      <w:pPr>
        <w:pStyle w:val="EndNoteBibliography"/>
        <w:ind w:left="720" w:hanging="720"/>
        <w:rPr>
          <w:i/>
        </w:rPr>
      </w:pPr>
      <w:r w:rsidRPr="004F150A">
        <w:t>21.</w:t>
      </w:r>
      <w:r w:rsidRPr="004F150A">
        <w:tab/>
        <w:t xml:space="preserve">Propper, C., I. Stockton, and G. Stoye, </w:t>
      </w:r>
      <w:r w:rsidRPr="004F150A">
        <w:rPr>
          <w:i/>
        </w:rPr>
        <w:t>COVID-19 and disruptions to thehealth and social care of older people</w:t>
      </w:r>
      <w:r>
        <w:rPr>
          <w:i/>
        </w:rPr>
        <w:t xml:space="preserve"> </w:t>
      </w:r>
      <w:r w:rsidRPr="004F150A">
        <w:rPr>
          <w:i/>
        </w:rPr>
        <w:t>in England</w:t>
      </w:r>
      <w:r w:rsidRPr="004F150A">
        <w:t>. 2020.</w:t>
      </w:r>
    </w:p>
    <w:p w14:paraId="210D100A" w14:textId="07816A8D" w:rsidR="004F150A" w:rsidRPr="004F150A" w:rsidRDefault="004F150A" w:rsidP="002A3D9D">
      <w:pPr>
        <w:pStyle w:val="EndNoteBibliography"/>
        <w:spacing w:after="0"/>
        <w:ind w:left="720" w:hanging="720"/>
      </w:pPr>
      <w:r w:rsidRPr="004F150A">
        <w:lastRenderedPageBreak/>
        <w:t>22.</w:t>
      </w:r>
      <w:r w:rsidRPr="004F150A">
        <w:tab/>
        <w:t xml:space="preserve">Digital, N. </w:t>
      </w:r>
      <w:r w:rsidRPr="004F150A">
        <w:rPr>
          <w:i/>
        </w:rPr>
        <w:t>Consultant-led referral to treatment waiting times</w:t>
      </w:r>
      <w:r w:rsidRPr="004F150A">
        <w:t xml:space="preserve">. </w:t>
      </w:r>
      <w:hyperlink r:id="rId10" w:history="1">
        <w:r w:rsidRPr="004F150A">
          <w:rPr>
            <w:rStyle w:val="Hyperlink"/>
          </w:rPr>
          <w:t>https://www.england.nhs.uk/statistics/statistical-work-areas/rtt-waiting-times/</w:t>
        </w:r>
      </w:hyperlink>
      <w:r w:rsidRPr="004F150A">
        <w:t xml:space="preserve"> 2020-21  [cited 2021 24th January].</w:t>
      </w:r>
    </w:p>
    <w:p w14:paraId="3F14F984" w14:textId="77777777" w:rsidR="004F150A" w:rsidRPr="004F150A" w:rsidRDefault="004F150A" w:rsidP="002A3D9D">
      <w:pPr>
        <w:pStyle w:val="EndNoteBibliography"/>
        <w:spacing w:after="0"/>
        <w:ind w:left="720" w:hanging="720"/>
      </w:pPr>
      <w:r w:rsidRPr="004F150A">
        <w:t>23.</w:t>
      </w:r>
      <w:r w:rsidRPr="004F150A">
        <w:tab/>
        <w:t xml:space="preserve">WHO, </w:t>
      </w:r>
      <w:r w:rsidRPr="004F150A">
        <w:rPr>
          <w:i/>
        </w:rPr>
        <w:t>Pulse survey on continuity of essential health services during the COVID-19 pandemic. Interim report</w:t>
      </w:r>
      <w:r w:rsidRPr="004F150A">
        <w:t>. 2020.</w:t>
      </w:r>
    </w:p>
    <w:p w14:paraId="16F7B9CE" w14:textId="77777777" w:rsidR="004F150A" w:rsidRPr="004F150A" w:rsidRDefault="004F150A" w:rsidP="002A3D9D">
      <w:pPr>
        <w:pStyle w:val="EndNoteBibliography"/>
        <w:spacing w:after="0"/>
        <w:ind w:left="720" w:hanging="720"/>
      </w:pPr>
      <w:r w:rsidRPr="004F150A">
        <w:t>24.</w:t>
      </w:r>
      <w:r w:rsidRPr="004F150A">
        <w:tab/>
        <w:t xml:space="preserve">Beaunoyer, E., S. Dupéré, and M.J. Guitton, </w:t>
      </w:r>
      <w:r w:rsidRPr="004F150A">
        <w:rPr>
          <w:i/>
        </w:rPr>
        <w:t>COVID-19 and digital inequalities: Reciprocal impacts and mitigation strategies.</w:t>
      </w:r>
      <w:r w:rsidRPr="004F150A">
        <w:t xml:space="preserve"> Comput Human Behav, 2020. </w:t>
      </w:r>
      <w:r w:rsidRPr="004F150A">
        <w:rPr>
          <w:b/>
        </w:rPr>
        <w:t>111</w:t>
      </w:r>
      <w:r w:rsidRPr="004F150A">
        <w:t>: p. 106424.</w:t>
      </w:r>
    </w:p>
    <w:p w14:paraId="7483A1AE" w14:textId="77777777" w:rsidR="004F150A" w:rsidRPr="004F150A" w:rsidRDefault="004F150A" w:rsidP="002A3D9D">
      <w:pPr>
        <w:pStyle w:val="EndNoteBibliography"/>
        <w:spacing w:after="0"/>
        <w:ind w:left="720" w:hanging="720"/>
      </w:pPr>
      <w:r w:rsidRPr="004F150A">
        <w:t>25.</w:t>
      </w:r>
      <w:r w:rsidRPr="004F150A">
        <w:tab/>
      </w:r>
      <w:r w:rsidRPr="004F150A">
        <w:rPr>
          <w:i/>
        </w:rPr>
        <w:t>Learning from lockdown. 12 Steps to Elimiate Digital Exclusion</w:t>
      </w:r>
      <w:r w:rsidRPr="004F150A">
        <w:t>. 2020, The Carnegie UK Trust: London.</w:t>
      </w:r>
    </w:p>
    <w:p w14:paraId="41957AE1" w14:textId="128C2EDF" w:rsidR="004F150A" w:rsidRPr="004F150A" w:rsidRDefault="004F150A" w:rsidP="002A3D9D">
      <w:pPr>
        <w:pStyle w:val="EndNoteBibliography"/>
        <w:ind w:left="720" w:hanging="720"/>
        <w:rPr>
          <w:i/>
        </w:rPr>
      </w:pPr>
      <w:r w:rsidRPr="004F150A">
        <w:t>26.</w:t>
      </w:r>
      <w:r w:rsidRPr="004F150A">
        <w:tab/>
        <w:t xml:space="preserve">Lawler, E., </w:t>
      </w:r>
      <w:r w:rsidRPr="004F150A">
        <w:rPr>
          <w:i/>
        </w:rPr>
        <w:t>Valuing Digital inclusion  Calculating</w:t>
      </w:r>
      <w:r>
        <w:rPr>
          <w:i/>
        </w:rPr>
        <w:t xml:space="preserve"> </w:t>
      </w:r>
      <w:r w:rsidRPr="004F150A">
        <w:rPr>
          <w:i/>
        </w:rPr>
        <w:t>the social value to individuals of going online. For the BT Get IT Together</w:t>
      </w:r>
      <w:r>
        <w:rPr>
          <w:i/>
        </w:rPr>
        <w:t xml:space="preserve"> </w:t>
      </w:r>
      <w:r w:rsidRPr="004F150A">
        <w:rPr>
          <w:i/>
        </w:rPr>
        <w:t>Project. </w:t>
      </w:r>
      <w:r w:rsidRPr="004F150A">
        <w:t>. 2014.</w:t>
      </w:r>
    </w:p>
    <w:p w14:paraId="7AB9E756" w14:textId="2B7EB7BA" w:rsidR="004F150A" w:rsidRPr="004F150A" w:rsidRDefault="004F150A" w:rsidP="002A3D9D">
      <w:pPr>
        <w:pStyle w:val="EndNoteBibliography"/>
        <w:ind w:left="720" w:hanging="720"/>
        <w:rPr>
          <w:i/>
        </w:rPr>
      </w:pPr>
      <w:r w:rsidRPr="004F150A">
        <w:t>27.</w:t>
      </w:r>
      <w:r w:rsidRPr="004F150A">
        <w:tab/>
        <w:t xml:space="preserve">Martin, C., et al., </w:t>
      </w:r>
      <w:r w:rsidRPr="004F150A">
        <w:rPr>
          <w:i/>
        </w:rPr>
        <w:t>The</w:t>
      </w:r>
      <w:r>
        <w:rPr>
          <w:i/>
        </w:rPr>
        <w:t xml:space="preserve"> </w:t>
      </w:r>
      <w:r w:rsidRPr="004F150A">
        <w:rPr>
          <w:i/>
        </w:rPr>
        <w:t>role of digital exclusion in social exclusion</w:t>
      </w:r>
      <w:r w:rsidRPr="004F150A">
        <w:t>. 2016.</w:t>
      </w:r>
    </w:p>
    <w:p w14:paraId="5A6E247F" w14:textId="574C472C" w:rsidR="004F150A" w:rsidRPr="004F150A" w:rsidRDefault="004F150A" w:rsidP="002A3D9D">
      <w:pPr>
        <w:pStyle w:val="EndNoteBibliography"/>
        <w:ind w:left="720" w:hanging="720"/>
        <w:rPr>
          <w:i/>
        </w:rPr>
      </w:pPr>
      <w:r w:rsidRPr="004F150A">
        <w:t>28.</w:t>
      </w:r>
      <w:r w:rsidRPr="004F150A">
        <w:tab/>
        <w:t xml:space="preserve">Julius, J., and D. Sims, </w:t>
      </w:r>
      <w:r w:rsidRPr="004F150A">
        <w:rPr>
          <w:i/>
        </w:rPr>
        <w:t>Schools’</w:t>
      </w:r>
      <w:r>
        <w:rPr>
          <w:i/>
        </w:rPr>
        <w:t xml:space="preserve"> </w:t>
      </w:r>
      <w:r w:rsidRPr="004F150A">
        <w:rPr>
          <w:i/>
        </w:rPr>
        <w:t>responses to Covid-19 : Support for vulnerable pupils and the children of</w:t>
      </w:r>
      <w:r>
        <w:rPr>
          <w:i/>
        </w:rPr>
        <w:t xml:space="preserve"> </w:t>
      </w:r>
      <w:r w:rsidRPr="004F150A">
        <w:rPr>
          <w:i/>
        </w:rPr>
        <w:t>keyworkers.</w:t>
      </w:r>
      <w:r w:rsidRPr="004F150A">
        <w:t xml:space="preserve"> 2020.</w:t>
      </w:r>
    </w:p>
    <w:p w14:paraId="2CAE263F" w14:textId="335D70F4" w:rsidR="004F150A" w:rsidRPr="004F150A" w:rsidRDefault="004F150A" w:rsidP="002A3D9D">
      <w:pPr>
        <w:pStyle w:val="EndNoteBibliography"/>
        <w:ind w:left="720" w:hanging="720"/>
        <w:rPr>
          <w:i/>
        </w:rPr>
      </w:pPr>
      <w:r w:rsidRPr="004F150A">
        <w:t>29.</w:t>
      </w:r>
      <w:r w:rsidRPr="004F150A">
        <w:tab/>
        <w:t xml:space="preserve">Lucas, et al., </w:t>
      </w:r>
      <w:r w:rsidRPr="004F150A">
        <w:rPr>
          <w:i/>
        </w:rPr>
        <w:t>Schools’</w:t>
      </w:r>
      <w:r>
        <w:rPr>
          <w:i/>
        </w:rPr>
        <w:t xml:space="preserve"> </w:t>
      </w:r>
      <w:r w:rsidRPr="004F150A">
        <w:rPr>
          <w:i/>
        </w:rPr>
        <w:t>responses to Covid-19 : Pupil engagement in remote learning.</w:t>
      </w:r>
      <w:r w:rsidRPr="004F150A">
        <w:t xml:space="preserve"> 2020, National</w:t>
      </w:r>
      <w:r>
        <w:t xml:space="preserve"> </w:t>
      </w:r>
      <w:r w:rsidRPr="004F150A">
        <w:t>foundation for Educational Research [NFER]. .</w:t>
      </w:r>
    </w:p>
    <w:p w14:paraId="2D5DCC15" w14:textId="312C5A3F" w:rsidR="004F150A" w:rsidRPr="004F150A" w:rsidRDefault="004F150A" w:rsidP="002A3D9D">
      <w:pPr>
        <w:pStyle w:val="EndNoteBibliography"/>
        <w:ind w:left="720" w:hanging="720"/>
        <w:rPr>
          <w:i/>
        </w:rPr>
      </w:pPr>
      <w:r w:rsidRPr="004F150A">
        <w:t>30.</w:t>
      </w:r>
      <w:r w:rsidRPr="004F150A">
        <w:tab/>
        <w:t xml:space="preserve">Nelson, J, and C. Sharp, </w:t>
      </w:r>
      <w:r w:rsidRPr="004F150A">
        <w:rPr>
          <w:i/>
        </w:rPr>
        <w:t>Schools’</w:t>
      </w:r>
      <w:r>
        <w:rPr>
          <w:i/>
        </w:rPr>
        <w:t xml:space="preserve"> </w:t>
      </w:r>
      <w:r w:rsidRPr="004F150A">
        <w:rPr>
          <w:i/>
        </w:rPr>
        <w:t>responses to Covid-19 : Key findings from the Wave 1 Survey</w:t>
      </w:r>
      <w:r w:rsidRPr="004F150A">
        <w:t>. 2020.</w:t>
      </w:r>
    </w:p>
    <w:p w14:paraId="611881BF" w14:textId="19DD34DE" w:rsidR="004F150A" w:rsidRPr="004F150A" w:rsidRDefault="004F150A" w:rsidP="002A3D9D">
      <w:pPr>
        <w:pStyle w:val="EndNoteBibliography"/>
        <w:ind w:left="720" w:hanging="720"/>
        <w:rPr>
          <w:i/>
        </w:rPr>
      </w:pPr>
      <w:r w:rsidRPr="004F150A">
        <w:t>31.</w:t>
      </w:r>
      <w:r w:rsidRPr="004F150A">
        <w:tab/>
        <w:t xml:space="preserve">Green, F., </w:t>
      </w:r>
      <w:r w:rsidRPr="004F150A">
        <w:rPr>
          <w:i/>
        </w:rPr>
        <w:t>Schoolwork</w:t>
      </w:r>
      <w:r>
        <w:rPr>
          <w:i/>
        </w:rPr>
        <w:t xml:space="preserve"> </w:t>
      </w:r>
      <w:r w:rsidRPr="004F150A">
        <w:rPr>
          <w:i/>
        </w:rPr>
        <w:t>in lockdown: new evidence on the epidemic of educational poverty.</w:t>
      </w:r>
      <w:r w:rsidRPr="004F150A">
        <w:t xml:space="preserve"> 2020.</w:t>
      </w:r>
    </w:p>
    <w:p w14:paraId="583EC8A2" w14:textId="3EDEBBA2" w:rsidR="004F150A" w:rsidRPr="004F150A" w:rsidRDefault="004F150A" w:rsidP="002A3D9D">
      <w:pPr>
        <w:pStyle w:val="EndNoteBibliography"/>
        <w:ind w:left="720" w:hanging="720"/>
        <w:rPr>
          <w:i/>
        </w:rPr>
      </w:pPr>
      <w:r w:rsidRPr="004F150A">
        <w:t>32.</w:t>
      </w:r>
      <w:r w:rsidRPr="004F150A">
        <w:tab/>
        <w:t xml:space="preserve">Cattan, et al., </w:t>
      </w:r>
      <w:r w:rsidRPr="004F150A">
        <w:rPr>
          <w:i/>
        </w:rPr>
        <w:t>Inequalities</w:t>
      </w:r>
      <w:r>
        <w:rPr>
          <w:i/>
        </w:rPr>
        <w:t xml:space="preserve"> </w:t>
      </w:r>
      <w:r w:rsidRPr="004F150A">
        <w:rPr>
          <w:i/>
        </w:rPr>
        <w:t>in responses to school closures over the course of the first Covid-19 lockdown</w:t>
      </w:r>
      <w:r>
        <w:rPr>
          <w:i/>
        </w:rPr>
        <w:t xml:space="preserve"> </w:t>
      </w:r>
      <w:r w:rsidRPr="004F150A">
        <w:rPr>
          <w:i/>
        </w:rPr>
        <w:t>(IFS working paper W21/4).</w:t>
      </w:r>
      <w:r w:rsidRPr="004F150A">
        <w:t xml:space="preserve"> 2021.</w:t>
      </w:r>
    </w:p>
    <w:p w14:paraId="4362049E" w14:textId="4DA9DB95" w:rsidR="004F150A" w:rsidRPr="004F150A" w:rsidRDefault="004F150A" w:rsidP="002A3D9D">
      <w:pPr>
        <w:pStyle w:val="EndNoteBibliography"/>
        <w:ind w:left="720" w:hanging="720"/>
        <w:rPr>
          <w:i/>
        </w:rPr>
      </w:pPr>
      <w:r w:rsidRPr="004F150A">
        <w:t>33.</w:t>
      </w:r>
      <w:r w:rsidRPr="004F150A">
        <w:tab/>
        <w:t xml:space="preserve">Montacute, R, and C. Cullinane, </w:t>
      </w:r>
      <w:r w:rsidRPr="004F150A">
        <w:rPr>
          <w:i/>
        </w:rPr>
        <w:t>Learning</w:t>
      </w:r>
      <w:r>
        <w:rPr>
          <w:i/>
        </w:rPr>
        <w:t xml:space="preserve"> </w:t>
      </w:r>
      <w:r w:rsidRPr="004F150A">
        <w:rPr>
          <w:i/>
        </w:rPr>
        <w:t>in lockdown: Research brief</w:t>
      </w:r>
      <w:r w:rsidRPr="004F150A">
        <w:t>. 2021.</w:t>
      </w:r>
    </w:p>
    <w:p w14:paraId="256AB808" w14:textId="18834E31" w:rsidR="004F150A" w:rsidRPr="004F150A" w:rsidRDefault="004F150A" w:rsidP="002A3D9D">
      <w:pPr>
        <w:pStyle w:val="EndNoteBibliography"/>
        <w:spacing w:after="0"/>
        <w:ind w:left="720" w:hanging="720"/>
        <w:jc w:val="left"/>
      </w:pPr>
      <w:r w:rsidRPr="004F150A">
        <w:t>34.</w:t>
      </w:r>
      <w:r w:rsidRPr="004F150A">
        <w:tab/>
        <w:t xml:space="preserve">Ofcom. Available from: </w:t>
      </w:r>
      <w:hyperlink r:id="rId11" w:history="1">
        <w:r w:rsidRPr="004F150A">
          <w:rPr>
            <w:rStyle w:val="Hyperlink"/>
          </w:rPr>
          <w:t>https://www.ofcom.org.uk/__data/assets/pdf_file/0037/194878/technology-tracker-2020-uk-data-tables.pdf</w:t>
        </w:r>
      </w:hyperlink>
      <w:r w:rsidRPr="004F150A">
        <w:t>.</w:t>
      </w:r>
    </w:p>
    <w:p w14:paraId="0552385E" w14:textId="57A95466" w:rsidR="004F150A" w:rsidRPr="004F150A" w:rsidRDefault="004F150A" w:rsidP="002A3D9D">
      <w:pPr>
        <w:pStyle w:val="EndNoteBibliography"/>
        <w:ind w:left="720" w:hanging="720"/>
        <w:rPr>
          <w:i/>
        </w:rPr>
      </w:pPr>
      <w:r w:rsidRPr="004F150A">
        <w:t>35.</w:t>
      </w:r>
      <w:r w:rsidRPr="004F150A">
        <w:tab/>
        <w:t xml:space="preserve">Ofsted, </w:t>
      </w:r>
      <w:r w:rsidRPr="004F150A">
        <w:rPr>
          <w:i/>
        </w:rPr>
        <w:t>What’s</w:t>
      </w:r>
      <w:r>
        <w:rPr>
          <w:i/>
        </w:rPr>
        <w:t xml:space="preserve"> </w:t>
      </w:r>
      <w:r w:rsidRPr="004F150A">
        <w:rPr>
          <w:i/>
        </w:rPr>
        <w:t>working well in remote education. </w:t>
      </w:r>
    </w:p>
    <w:p w14:paraId="69E0FB43" w14:textId="63A367AD" w:rsidR="004F150A" w:rsidRPr="004F150A" w:rsidRDefault="004F150A" w:rsidP="002A3D9D">
      <w:pPr>
        <w:pStyle w:val="EndNoteBibliography"/>
        <w:ind w:left="720" w:hanging="720"/>
        <w:rPr>
          <w:i/>
        </w:rPr>
      </w:pPr>
      <w:r w:rsidRPr="004F150A">
        <w:t>36.</w:t>
      </w:r>
      <w:r w:rsidRPr="004F150A">
        <w:tab/>
        <w:t xml:space="preserve">Ofsted, </w:t>
      </w:r>
      <w:r w:rsidRPr="004F150A">
        <w:rPr>
          <w:i/>
        </w:rPr>
        <w:t>Remote</w:t>
      </w:r>
      <w:r>
        <w:rPr>
          <w:i/>
        </w:rPr>
        <w:t xml:space="preserve"> </w:t>
      </w:r>
      <w:r w:rsidRPr="004F150A">
        <w:rPr>
          <w:i/>
        </w:rPr>
        <w:t>education research</w:t>
      </w:r>
      <w:r w:rsidRPr="004F150A">
        <w:t>. 2021.</w:t>
      </w:r>
    </w:p>
    <w:p w14:paraId="50F89FC7" w14:textId="70EF5EFF" w:rsidR="004F150A" w:rsidRPr="004F150A" w:rsidRDefault="004F150A" w:rsidP="002A3D9D">
      <w:pPr>
        <w:pStyle w:val="EndNoteBibliography"/>
        <w:ind w:left="720" w:hanging="720"/>
        <w:rPr>
          <w:i/>
        </w:rPr>
      </w:pPr>
      <w:r w:rsidRPr="004F150A">
        <w:t>37.</w:t>
      </w:r>
      <w:r w:rsidRPr="004F150A">
        <w:tab/>
        <w:t xml:space="preserve">Office and f.N.S. (ONS), </w:t>
      </w:r>
      <w:r w:rsidRPr="004F150A">
        <w:rPr>
          <w:i/>
        </w:rPr>
        <w:t>Coronavirus</w:t>
      </w:r>
      <w:r>
        <w:rPr>
          <w:i/>
        </w:rPr>
        <w:t xml:space="preserve"> </w:t>
      </w:r>
      <w:r w:rsidRPr="004F150A">
        <w:rPr>
          <w:i/>
        </w:rPr>
        <w:t>and home schooling in Great Britain: April to June 2020. </w:t>
      </w:r>
      <w:r w:rsidRPr="004F150A">
        <w:t>. 2020.</w:t>
      </w:r>
    </w:p>
    <w:p w14:paraId="0F00308E" w14:textId="77777777" w:rsidR="004F150A" w:rsidRPr="004F150A" w:rsidRDefault="004F150A" w:rsidP="002A3D9D">
      <w:pPr>
        <w:pStyle w:val="EndNoteBibliography"/>
        <w:spacing w:after="0"/>
        <w:ind w:left="720" w:hanging="720"/>
      </w:pPr>
      <w:r w:rsidRPr="004F150A">
        <w:t>38.</w:t>
      </w:r>
      <w:r w:rsidRPr="004F150A">
        <w:tab/>
        <w:t xml:space="preserve">(ONS), O.f.n.S., </w:t>
      </w:r>
      <w:r w:rsidRPr="004F150A">
        <w:rPr>
          <w:i/>
        </w:rPr>
        <w:t>Internet sales as a percentage of total retail sales (ratio) (%)</w:t>
      </w:r>
      <w:r w:rsidRPr="004F150A">
        <w:t>. 2020.</w:t>
      </w:r>
    </w:p>
    <w:p w14:paraId="610318A0" w14:textId="77777777" w:rsidR="004F150A" w:rsidRPr="004F150A" w:rsidRDefault="004F150A" w:rsidP="002A3D9D">
      <w:pPr>
        <w:pStyle w:val="EndNoteBibliography"/>
        <w:spacing w:after="0"/>
        <w:ind w:left="720" w:hanging="720"/>
      </w:pPr>
      <w:r w:rsidRPr="004F150A">
        <w:t>39.</w:t>
      </w:r>
      <w:r w:rsidRPr="004F150A">
        <w:tab/>
        <w:t xml:space="preserve">Dover, D.C. and A.P. Belon, </w:t>
      </w:r>
      <w:r w:rsidRPr="004F150A">
        <w:rPr>
          <w:i/>
        </w:rPr>
        <w:t>The health equity measurement framework: a comprehensive model to measure social inequities in health.</w:t>
      </w:r>
      <w:r w:rsidRPr="004F150A">
        <w:t xml:space="preserve"> Int J Equity Health, 2019. </w:t>
      </w:r>
      <w:r w:rsidRPr="004F150A">
        <w:rPr>
          <w:b/>
        </w:rPr>
        <w:t>18</w:t>
      </w:r>
      <w:r w:rsidRPr="004F150A">
        <w:t>(1): p. 36.</w:t>
      </w:r>
    </w:p>
    <w:p w14:paraId="3E3A0CB7" w14:textId="77777777" w:rsidR="004F150A" w:rsidRPr="004F150A" w:rsidRDefault="004F150A" w:rsidP="002A3D9D">
      <w:pPr>
        <w:pStyle w:val="EndNoteBibliography"/>
        <w:spacing w:after="0"/>
        <w:ind w:left="720" w:hanging="720"/>
      </w:pPr>
      <w:r w:rsidRPr="004F150A">
        <w:t>40.</w:t>
      </w:r>
      <w:r w:rsidRPr="004F150A">
        <w:tab/>
        <w:t xml:space="preserve">Crawford, A. and E. Serhal, </w:t>
      </w:r>
      <w:r w:rsidRPr="004F150A">
        <w:rPr>
          <w:i/>
        </w:rPr>
        <w:t>Digital Health Equity and COVID-19: The Innovation Curve Cannot Reinforce the Social Gradient of Health.</w:t>
      </w:r>
      <w:r w:rsidRPr="004F150A">
        <w:t xml:space="preserve"> J Med Internet Res, 2020. </w:t>
      </w:r>
      <w:r w:rsidRPr="004F150A">
        <w:rPr>
          <w:b/>
        </w:rPr>
        <w:t>22</w:t>
      </w:r>
      <w:r w:rsidRPr="004F150A">
        <w:t>(6): p. e19361.</w:t>
      </w:r>
    </w:p>
    <w:p w14:paraId="1A6ED96B" w14:textId="77777777" w:rsidR="004F150A" w:rsidRPr="004F150A" w:rsidRDefault="004F150A" w:rsidP="002A3D9D">
      <w:pPr>
        <w:pStyle w:val="EndNoteBibliography"/>
        <w:spacing w:after="0"/>
        <w:ind w:left="720" w:hanging="720"/>
      </w:pPr>
      <w:r w:rsidRPr="004F150A">
        <w:t>41.</w:t>
      </w:r>
      <w:r w:rsidRPr="004F150A">
        <w:tab/>
        <w:t xml:space="preserve">Chang, J.E., et al., </w:t>
      </w:r>
      <w:r w:rsidRPr="004F150A">
        <w:rPr>
          <w:i/>
        </w:rPr>
        <w:t>Rapid Transition to Telehealth and the Digital Divide: Implications for Primary Care Access and Equity in a Post-COVID Era.</w:t>
      </w:r>
      <w:r w:rsidRPr="004F150A">
        <w:t xml:space="preserve"> Milbank Q, 2021. </w:t>
      </w:r>
      <w:r w:rsidRPr="004F150A">
        <w:rPr>
          <w:b/>
        </w:rPr>
        <w:t>99</w:t>
      </w:r>
      <w:r w:rsidRPr="004F150A">
        <w:t>(2): p. 340-368.</w:t>
      </w:r>
    </w:p>
    <w:p w14:paraId="55A3F110" w14:textId="74DC0C61" w:rsidR="004F150A" w:rsidRPr="004F150A" w:rsidRDefault="004F150A" w:rsidP="002A3D9D">
      <w:pPr>
        <w:pStyle w:val="EndNoteBibliography"/>
        <w:ind w:left="720" w:hanging="720"/>
      </w:pPr>
      <w:r w:rsidRPr="004F150A">
        <w:t>42.</w:t>
      </w:r>
      <w:r w:rsidRPr="004F150A">
        <w:tab/>
      </w:r>
      <w:r>
        <w:t xml:space="preserve">Nuffield </w:t>
      </w:r>
      <w:r w:rsidRPr="004F150A">
        <w:t xml:space="preserve">Trust, </w:t>
      </w:r>
      <w:r w:rsidRPr="004F150A">
        <w:rPr>
          <w:i/>
        </w:rPr>
        <w:t>Digital and remote primary care: the inverse care law with a 21st century twist?</w:t>
      </w:r>
      <w:r w:rsidRPr="004F150A">
        <w:t xml:space="preserve"> 2022.</w:t>
      </w:r>
    </w:p>
    <w:p w14:paraId="74AB66A3" w14:textId="35D55ED5" w:rsidR="004B3B16" w:rsidRPr="00086AB5" w:rsidRDefault="00BC093C" w:rsidP="002A3D9D">
      <w:pPr>
        <w:widowControl/>
        <w:autoSpaceDE/>
        <w:adjustRightInd/>
        <w:rPr>
          <w:rFonts w:eastAsiaTheme="majorEastAsia"/>
          <w:color w:val="auto"/>
          <w:sz w:val="26"/>
          <w:szCs w:val="26"/>
        </w:rPr>
      </w:pPr>
      <w:r>
        <w:rPr>
          <w:rFonts w:eastAsiaTheme="majorEastAsia"/>
          <w:color w:val="auto"/>
          <w:sz w:val="26"/>
          <w:szCs w:val="26"/>
        </w:rPr>
        <w:fldChar w:fldCharType="end"/>
      </w:r>
    </w:p>
    <w:sectPr w:rsidR="004B3B16" w:rsidRPr="00086AB5">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3D69A7" w14:textId="77777777" w:rsidR="0040402C" w:rsidRDefault="0040402C" w:rsidP="0040402C">
      <w:pPr>
        <w:spacing w:after="0" w:line="240" w:lineRule="auto"/>
      </w:pPr>
      <w:r>
        <w:separator/>
      </w:r>
    </w:p>
  </w:endnote>
  <w:endnote w:type="continuationSeparator" w:id="0">
    <w:p w14:paraId="1324592E" w14:textId="77777777" w:rsidR="0040402C" w:rsidRDefault="0040402C" w:rsidP="00404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topia Std">
    <w:altName w:val="Cambria"/>
    <w:panose1 w:val="00000000000000000000"/>
    <w:charset w:val="00"/>
    <w:family w:val="roman"/>
    <w:notTrueType/>
    <w:pitch w:val="default"/>
    <w:sig w:usb0="00000003" w:usb1="00000000" w:usb2="00000000" w:usb3="00000000" w:csb0="00000001" w:csb1="00000000"/>
  </w:font>
  <w:font w:name="Circular Pro Bold">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43652045"/>
      <w:docPartObj>
        <w:docPartGallery w:val="Page Numbers (Bottom of Page)"/>
        <w:docPartUnique/>
      </w:docPartObj>
    </w:sdtPr>
    <w:sdtEndPr>
      <w:rPr>
        <w:noProof/>
      </w:rPr>
    </w:sdtEndPr>
    <w:sdtContent>
      <w:p w14:paraId="44A4B12B" w14:textId="5BFC18FB" w:rsidR="0040402C" w:rsidRDefault="0040402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7F25DF" w14:textId="77777777" w:rsidR="0040402C" w:rsidRDefault="004040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93F101" w14:textId="77777777" w:rsidR="0040402C" w:rsidRDefault="0040402C" w:rsidP="0040402C">
      <w:pPr>
        <w:spacing w:after="0" w:line="240" w:lineRule="auto"/>
      </w:pPr>
      <w:r>
        <w:separator/>
      </w:r>
    </w:p>
  </w:footnote>
  <w:footnote w:type="continuationSeparator" w:id="0">
    <w:p w14:paraId="43D4B565" w14:textId="77777777" w:rsidR="0040402C" w:rsidRDefault="0040402C" w:rsidP="004040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42CEF"/>
    <w:multiLevelType w:val="hybridMultilevel"/>
    <w:tmpl w:val="FFCA7E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811274A"/>
    <w:multiLevelType w:val="hybridMultilevel"/>
    <w:tmpl w:val="417698C2"/>
    <w:lvl w:ilvl="0" w:tplc="8962E9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DF469AF"/>
    <w:multiLevelType w:val="hybridMultilevel"/>
    <w:tmpl w:val="61903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113D56"/>
    <w:multiLevelType w:val="hybridMultilevel"/>
    <w:tmpl w:val="80CEEA4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A40B92"/>
    <w:multiLevelType w:val="hybridMultilevel"/>
    <w:tmpl w:val="DCA077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D6365C"/>
    <w:multiLevelType w:val="hybridMultilevel"/>
    <w:tmpl w:val="B2088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5F3805"/>
    <w:multiLevelType w:val="hybridMultilevel"/>
    <w:tmpl w:val="97867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9B76EC"/>
    <w:multiLevelType w:val="hybridMultilevel"/>
    <w:tmpl w:val="00C83C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1A16276"/>
    <w:multiLevelType w:val="hybridMultilevel"/>
    <w:tmpl w:val="2312B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E8767F"/>
    <w:multiLevelType w:val="hybridMultilevel"/>
    <w:tmpl w:val="8A22B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451587"/>
    <w:multiLevelType w:val="hybridMultilevel"/>
    <w:tmpl w:val="D170357C"/>
    <w:lvl w:ilvl="0" w:tplc="424CA82A">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1" w15:restartNumberingAfterBreak="0">
    <w:nsid w:val="2471469A"/>
    <w:multiLevelType w:val="hybridMultilevel"/>
    <w:tmpl w:val="CC0EC99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286D0F28"/>
    <w:multiLevelType w:val="hybridMultilevel"/>
    <w:tmpl w:val="CB0AB22C"/>
    <w:lvl w:ilvl="0" w:tplc="4CF6DC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DA7627"/>
    <w:multiLevelType w:val="hybridMultilevel"/>
    <w:tmpl w:val="ED6CEA5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4" w15:restartNumberingAfterBreak="0">
    <w:nsid w:val="2E954286"/>
    <w:multiLevelType w:val="hybridMultilevel"/>
    <w:tmpl w:val="2244D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0355D7"/>
    <w:multiLevelType w:val="hybridMultilevel"/>
    <w:tmpl w:val="6896D6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0C7B6B"/>
    <w:multiLevelType w:val="hybridMultilevel"/>
    <w:tmpl w:val="6896D6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10640ED"/>
    <w:multiLevelType w:val="hybridMultilevel"/>
    <w:tmpl w:val="F63C004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4C75700"/>
    <w:multiLevelType w:val="multilevel"/>
    <w:tmpl w:val="B08C8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7D1B64"/>
    <w:multiLevelType w:val="multilevel"/>
    <w:tmpl w:val="29B6A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36B0144"/>
    <w:multiLevelType w:val="hybridMultilevel"/>
    <w:tmpl w:val="7818C2B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44A5233"/>
    <w:multiLevelType w:val="hybridMultilevel"/>
    <w:tmpl w:val="6F5EFE18"/>
    <w:lvl w:ilvl="0" w:tplc="6F7670CA">
      <w:start w:val="1"/>
      <w:numFmt w:val="bullet"/>
      <w:lvlText w:val="•"/>
      <w:lvlJc w:val="left"/>
      <w:pPr>
        <w:tabs>
          <w:tab w:val="num" w:pos="720"/>
        </w:tabs>
        <w:ind w:left="720" w:hanging="360"/>
      </w:pPr>
      <w:rPr>
        <w:rFonts w:ascii="Times New Roman" w:hAnsi="Times New Roman" w:hint="default"/>
      </w:rPr>
    </w:lvl>
    <w:lvl w:ilvl="1" w:tplc="621AECCC" w:tentative="1">
      <w:start w:val="1"/>
      <w:numFmt w:val="bullet"/>
      <w:lvlText w:val="•"/>
      <w:lvlJc w:val="left"/>
      <w:pPr>
        <w:tabs>
          <w:tab w:val="num" w:pos="1440"/>
        </w:tabs>
        <w:ind w:left="1440" w:hanging="360"/>
      </w:pPr>
      <w:rPr>
        <w:rFonts w:ascii="Times New Roman" w:hAnsi="Times New Roman" w:hint="default"/>
      </w:rPr>
    </w:lvl>
    <w:lvl w:ilvl="2" w:tplc="D5A600E0" w:tentative="1">
      <w:start w:val="1"/>
      <w:numFmt w:val="bullet"/>
      <w:lvlText w:val="•"/>
      <w:lvlJc w:val="left"/>
      <w:pPr>
        <w:tabs>
          <w:tab w:val="num" w:pos="2160"/>
        </w:tabs>
        <w:ind w:left="2160" w:hanging="360"/>
      </w:pPr>
      <w:rPr>
        <w:rFonts w:ascii="Times New Roman" w:hAnsi="Times New Roman" w:hint="default"/>
      </w:rPr>
    </w:lvl>
    <w:lvl w:ilvl="3" w:tplc="F70C5178" w:tentative="1">
      <w:start w:val="1"/>
      <w:numFmt w:val="bullet"/>
      <w:lvlText w:val="•"/>
      <w:lvlJc w:val="left"/>
      <w:pPr>
        <w:tabs>
          <w:tab w:val="num" w:pos="2880"/>
        </w:tabs>
        <w:ind w:left="2880" w:hanging="360"/>
      </w:pPr>
      <w:rPr>
        <w:rFonts w:ascii="Times New Roman" w:hAnsi="Times New Roman" w:hint="default"/>
      </w:rPr>
    </w:lvl>
    <w:lvl w:ilvl="4" w:tplc="FA94BAF0" w:tentative="1">
      <w:start w:val="1"/>
      <w:numFmt w:val="bullet"/>
      <w:lvlText w:val="•"/>
      <w:lvlJc w:val="left"/>
      <w:pPr>
        <w:tabs>
          <w:tab w:val="num" w:pos="3600"/>
        </w:tabs>
        <w:ind w:left="3600" w:hanging="360"/>
      </w:pPr>
      <w:rPr>
        <w:rFonts w:ascii="Times New Roman" w:hAnsi="Times New Roman" w:hint="default"/>
      </w:rPr>
    </w:lvl>
    <w:lvl w:ilvl="5" w:tplc="1A766EB0" w:tentative="1">
      <w:start w:val="1"/>
      <w:numFmt w:val="bullet"/>
      <w:lvlText w:val="•"/>
      <w:lvlJc w:val="left"/>
      <w:pPr>
        <w:tabs>
          <w:tab w:val="num" w:pos="4320"/>
        </w:tabs>
        <w:ind w:left="4320" w:hanging="360"/>
      </w:pPr>
      <w:rPr>
        <w:rFonts w:ascii="Times New Roman" w:hAnsi="Times New Roman" w:hint="default"/>
      </w:rPr>
    </w:lvl>
    <w:lvl w:ilvl="6" w:tplc="E9284E56" w:tentative="1">
      <w:start w:val="1"/>
      <w:numFmt w:val="bullet"/>
      <w:lvlText w:val="•"/>
      <w:lvlJc w:val="left"/>
      <w:pPr>
        <w:tabs>
          <w:tab w:val="num" w:pos="5040"/>
        </w:tabs>
        <w:ind w:left="5040" w:hanging="360"/>
      </w:pPr>
      <w:rPr>
        <w:rFonts w:ascii="Times New Roman" w:hAnsi="Times New Roman" w:hint="default"/>
      </w:rPr>
    </w:lvl>
    <w:lvl w:ilvl="7" w:tplc="C3AC53EA" w:tentative="1">
      <w:start w:val="1"/>
      <w:numFmt w:val="bullet"/>
      <w:lvlText w:val="•"/>
      <w:lvlJc w:val="left"/>
      <w:pPr>
        <w:tabs>
          <w:tab w:val="num" w:pos="5760"/>
        </w:tabs>
        <w:ind w:left="5760" w:hanging="360"/>
      </w:pPr>
      <w:rPr>
        <w:rFonts w:ascii="Times New Roman" w:hAnsi="Times New Roman" w:hint="default"/>
      </w:rPr>
    </w:lvl>
    <w:lvl w:ilvl="8" w:tplc="879E5EE2"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5DEF5686"/>
    <w:multiLevelType w:val="hybridMultilevel"/>
    <w:tmpl w:val="8F10D72E"/>
    <w:lvl w:ilvl="0" w:tplc="08090001">
      <w:start w:val="1"/>
      <w:numFmt w:val="bullet"/>
      <w:lvlText w:val=""/>
      <w:lvlJc w:val="left"/>
      <w:pPr>
        <w:tabs>
          <w:tab w:val="num" w:pos="720"/>
        </w:tabs>
        <w:ind w:left="720" w:hanging="360"/>
      </w:pPr>
      <w:rPr>
        <w:rFonts w:ascii="Symbol" w:hAnsi="Symbol" w:hint="default"/>
      </w:rPr>
    </w:lvl>
    <w:lvl w:ilvl="1" w:tplc="9144737C">
      <w:start w:val="1451"/>
      <w:numFmt w:val="bullet"/>
      <w:lvlText w:val="◦"/>
      <w:lvlJc w:val="left"/>
      <w:pPr>
        <w:tabs>
          <w:tab w:val="num" w:pos="1440"/>
        </w:tabs>
        <w:ind w:left="1440" w:hanging="360"/>
      </w:pPr>
      <w:rPr>
        <w:rFonts w:ascii="Verdana" w:hAnsi="Verdana" w:hint="default"/>
      </w:rPr>
    </w:lvl>
    <w:lvl w:ilvl="2" w:tplc="BA7A6BC8" w:tentative="1">
      <w:start w:val="1"/>
      <w:numFmt w:val="bullet"/>
      <w:lvlText w:val=""/>
      <w:lvlJc w:val="left"/>
      <w:pPr>
        <w:tabs>
          <w:tab w:val="num" w:pos="2160"/>
        </w:tabs>
        <w:ind w:left="2160" w:hanging="360"/>
      </w:pPr>
      <w:rPr>
        <w:rFonts w:ascii="Wingdings 3" w:hAnsi="Wingdings 3" w:hint="default"/>
      </w:rPr>
    </w:lvl>
    <w:lvl w:ilvl="3" w:tplc="74EC04C6" w:tentative="1">
      <w:start w:val="1"/>
      <w:numFmt w:val="bullet"/>
      <w:lvlText w:val=""/>
      <w:lvlJc w:val="left"/>
      <w:pPr>
        <w:tabs>
          <w:tab w:val="num" w:pos="2880"/>
        </w:tabs>
        <w:ind w:left="2880" w:hanging="360"/>
      </w:pPr>
      <w:rPr>
        <w:rFonts w:ascii="Wingdings 3" w:hAnsi="Wingdings 3" w:hint="default"/>
      </w:rPr>
    </w:lvl>
    <w:lvl w:ilvl="4" w:tplc="685C08A0" w:tentative="1">
      <w:start w:val="1"/>
      <w:numFmt w:val="bullet"/>
      <w:lvlText w:val=""/>
      <w:lvlJc w:val="left"/>
      <w:pPr>
        <w:tabs>
          <w:tab w:val="num" w:pos="3600"/>
        </w:tabs>
        <w:ind w:left="3600" w:hanging="360"/>
      </w:pPr>
      <w:rPr>
        <w:rFonts w:ascii="Wingdings 3" w:hAnsi="Wingdings 3" w:hint="default"/>
      </w:rPr>
    </w:lvl>
    <w:lvl w:ilvl="5" w:tplc="588A056E" w:tentative="1">
      <w:start w:val="1"/>
      <w:numFmt w:val="bullet"/>
      <w:lvlText w:val=""/>
      <w:lvlJc w:val="left"/>
      <w:pPr>
        <w:tabs>
          <w:tab w:val="num" w:pos="4320"/>
        </w:tabs>
        <w:ind w:left="4320" w:hanging="360"/>
      </w:pPr>
      <w:rPr>
        <w:rFonts w:ascii="Wingdings 3" w:hAnsi="Wingdings 3" w:hint="default"/>
      </w:rPr>
    </w:lvl>
    <w:lvl w:ilvl="6" w:tplc="ACB07BC2" w:tentative="1">
      <w:start w:val="1"/>
      <w:numFmt w:val="bullet"/>
      <w:lvlText w:val=""/>
      <w:lvlJc w:val="left"/>
      <w:pPr>
        <w:tabs>
          <w:tab w:val="num" w:pos="5040"/>
        </w:tabs>
        <w:ind w:left="5040" w:hanging="360"/>
      </w:pPr>
      <w:rPr>
        <w:rFonts w:ascii="Wingdings 3" w:hAnsi="Wingdings 3" w:hint="default"/>
      </w:rPr>
    </w:lvl>
    <w:lvl w:ilvl="7" w:tplc="4E62983E" w:tentative="1">
      <w:start w:val="1"/>
      <w:numFmt w:val="bullet"/>
      <w:lvlText w:val=""/>
      <w:lvlJc w:val="left"/>
      <w:pPr>
        <w:tabs>
          <w:tab w:val="num" w:pos="5760"/>
        </w:tabs>
        <w:ind w:left="5760" w:hanging="360"/>
      </w:pPr>
      <w:rPr>
        <w:rFonts w:ascii="Wingdings 3" w:hAnsi="Wingdings 3" w:hint="default"/>
      </w:rPr>
    </w:lvl>
    <w:lvl w:ilvl="8" w:tplc="21E47744" w:tentative="1">
      <w:start w:val="1"/>
      <w:numFmt w:val="bullet"/>
      <w:lvlText w:val=""/>
      <w:lvlJc w:val="left"/>
      <w:pPr>
        <w:tabs>
          <w:tab w:val="num" w:pos="6480"/>
        </w:tabs>
        <w:ind w:left="6480" w:hanging="360"/>
      </w:pPr>
      <w:rPr>
        <w:rFonts w:ascii="Wingdings 3" w:hAnsi="Wingdings 3" w:hint="default"/>
      </w:rPr>
    </w:lvl>
  </w:abstractNum>
  <w:abstractNum w:abstractNumId="23" w15:restartNumberingAfterBreak="0">
    <w:nsid w:val="5E89695E"/>
    <w:multiLevelType w:val="hybridMultilevel"/>
    <w:tmpl w:val="B6E4D03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5EA53262"/>
    <w:multiLevelType w:val="hybridMultilevel"/>
    <w:tmpl w:val="0276BB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FF620CC"/>
    <w:multiLevelType w:val="hybridMultilevel"/>
    <w:tmpl w:val="AA5637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78D5F5A"/>
    <w:multiLevelType w:val="hybridMultilevel"/>
    <w:tmpl w:val="6896D6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9B814A6"/>
    <w:multiLevelType w:val="hybridMultilevel"/>
    <w:tmpl w:val="93C46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8252EB"/>
    <w:multiLevelType w:val="hybridMultilevel"/>
    <w:tmpl w:val="97E6D4DE"/>
    <w:lvl w:ilvl="0" w:tplc="329292A2">
      <w:start w:val="1"/>
      <w:numFmt w:val="decimal"/>
      <w:lvlText w:val="%1."/>
      <w:lvlJc w:val="left"/>
      <w:pPr>
        <w:ind w:left="720" w:hanging="360"/>
      </w:pPr>
      <w:rPr>
        <w:rFonts w:hint="default"/>
        <w:color w:val="auto"/>
        <w:sz w:val="22"/>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2614808"/>
    <w:multiLevelType w:val="hybridMultilevel"/>
    <w:tmpl w:val="46A47D72"/>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30" w15:restartNumberingAfterBreak="0">
    <w:nsid w:val="72F75150"/>
    <w:multiLevelType w:val="hybridMultilevel"/>
    <w:tmpl w:val="3EC8DC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458366C"/>
    <w:multiLevelType w:val="hybridMultilevel"/>
    <w:tmpl w:val="F724AE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755C22CE"/>
    <w:multiLevelType w:val="hybridMultilevel"/>
    <w:tmpl w:val="883E248E"/>
    <w:lvl w:ilvl="0" w:tplc="8C6EE18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9B324CA"/>
    <w:multiLevelType w:val="hybridMultilevel"/>
    <w:tmpl w:val="155EFA32"/>
    <w:lvl w:ilvl="0" w:tplc="10866016">
      <w:start w:val="1"/>
      <w:numFmt w:val="bullet"/>
      <w:lvlText w:val=""/>
      <w:lvlJc w:val="left"/>
      <w:pPr>
        <w:tabs>
          <w:tab w:val="num" w:pos="720"/>
        </w:tabs>
        <w:ind w:left="720" w:hanging="360"/>
      </w:pPr>
      <w:rPr>
        <w:rFonts w:ascii="Wingdings 3" w:hAnsi="Wingdings 3" w:hint="default"/>
      </w:rPr>
    </w:lvl>
    <w:lvl w:ilvl="1" w:tplc="9144737C">
      <w:start w:val="1451"/>
      <w:numFmt w:val="bullet"/>
      <w:lvlText w:val="◦"/>
      <w:lvlJc w:val="left"/>
      <w:pPr>
        <w:tabs>
          <w:tab w:val="num" w:pos="1440"/>
        </w:tabs>
        <w:ind w:left="1440" w:hanging="360"/>
      </w:pPr>
      <w:rPr>
        <w:rFonts w:ascii="Verdana" w:hAnsi="Verdana" w:hint="default"/>
      </w:rPr>
    </w:lvl>
    <w:lvl w:ilvl="2" w:tplc="BA7A6BC8" w:tentative="1">
      <w:start w:val="1"/>
      <w:numFmt w:val="bullet"/>
      <w:lvlText w:val=""/>
      <w:lvlJc w:val="left"/>
      <w:pPr>
        <w:tabs>
          <w:tab w:val="num" w:pos="2160"/>
        </w:tabs>
        <w:ind w:left="2160" w:hanging="360"/>
      </w:pPr>
      <w:rPr>
        <w:rFonts w:ascii="Wingdings 3" w:hAnsi="Wingdings 3" w:hint="default"/>
      </w:rPr>
    </w:lvl>
    <w:lvl w:ilvl="3" w:tplc="74EC04C6" w:tentative="1">
      <w:start w:val="1"/>
      <w:numFmt w:val="bullet"/>
      <w:lvlText w:val=""/>
      <w:lvlJc w:val="left"/>
      <w:pPr>
        <w:tabs>
          <w:tab w:val="num" w:pos="2880"/>
        </w:tabs>
        <w:ind w:left="2880" w:hanging="360"/>
      </w:pPr>
      <w:rPr>
        <w:rFonts w:ascii="Wingdings 3" w:hAnsi="Wingdings 3" w:hint="default"/>
      </w:rPr>
    </w:lvl>
    <w:lvl w:ilvl="4" w:tplc="685C08A0" w:tentative="1">
      <w:start w:val="1"/>
      <w:numFmt w:val="bullet"/>
      <w:lvlText w:val=""/>
      <w:lvlJc w:val="left"/>
      <w:pPr>
        <w:tabs>
          <w:tab w:val="num" w:pos="3600"/>
        </w:tabs>
        <w:ind w:left="3600" w:hanging="360"/>
      </w:pPr>
      <w:rPr>
        <w:rFonts w:ascii="Wingdings 3" w:hAnsi="Wingdings 3" w:hint="default"/>
      </w:rPr>
    </w:lvl>
    <w:lvl w:ilvl="5" w:tplc="588A056E" w:tentative="1">
      <w:start w:val="1"/>
      <w:numFmt w:val="bullet"/>
      <w:lvlText w:val=""/>
      <w:lvlJc w:val="left"/>
      <w:pPr>
        <w:tabs>
          <w:tab w:val="num" w:pos="4320"/>
        </w:tabs>
        <w:ind w:left="4320" w:hanging="360"/>
      </w:pPr>
      <w:rPr>
        <w:rFonts w:ascii="Wingdings 3" w:hAnsi="Wingdings 3" w:hint="default"/>
      </w:rPr>
    </w:lvl>
    <w:lvl w:ilvl="6" w:tplc="ACB07BC2" w:tentative="1">
      <w:start w:val="1"/>
      <w:numFmt w:val="bullet"/>
      <w:lvlText w:val=""/>
      <w:lvlJc w:val="left"/>
      <w:pPr>
        <w:tabs>
          <w:tab w:val="num" w:pos="5040"/>
        </w:tabs>
        <w:ind w:left="5040" w:hanging="360"/>
      </w:pPr>
      <w:rPr>
        <w:rFonts w:ascii="Wingdings 3" w:hAnsi="Wingdings 3" w:hint="default"/>
      </w:rPr>
    </w:lvl>
    <w:lvl w:ilvl="7" w:tplc="4E62983E" w:tentative="1">
      <w:start w:val="1"/>
      <w:numFmt w:val="bullet"/>
      <w:lvlText w:val=""/>
      <w:lvlJc w:val="left"/>
      <w:pPr>
        <w:tabs>
          <w:tab w:val="num" w:pos="5760"/>
        </w:tabs>
        <w:ind w:left="5760" w:hanging="360"/>
      </w:pPr>
      <w:rPr>
        <w:rFonts w:ascii="Wingdings 3" w:hAnsi="Wingdings 3" w:hint="default"/>
      </w:rPr>
    </w:lvl>
    <w:lvl w:ilvl="8" w:tplc="21E47744" w:tentative="1">
      <w:start w:val="1"/>
      <w:numFmt w:val="bullet"/>
      <w:lvlText w:val=""/>
      <w:lvlJc w:val="left"/>
      <w:pPr>
        <w:tabs>
          <w:tab w:val="num" w:pos="6480"/>
        </w:tabs>
        <w:ind w:left="6480" w:hanging="360"/>
      </w:pPr>
      <w:rPr>
        <w:rFonts w:ascii="Wingdings 3" w:hAnsi="Wingdings 3"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4"/>
  </w:num>
  <w:num w:numId="4">
    <w:abstractNumId w:val="18"/>
  </w:num>
  <w:num w:numId="5">
    <w:abstractNumId w:val="1"/>
  </w:num>
  <w:num w:numId="6">
    <w:abstractNumId w:val="12"/>
  </w:num>
  <w:num w:numId="7">
    <w:abstractNumId w:val="26"/>
  </w:num>
  <w:num w:numId="8">
    <w:abstractNumId w:val="8"/>
  </w:num>
  <w:num w:numId="9">
    <w:abstractNumId w:val="31"/>
  </w:num>
  <w:num w:numId="10">
    <w:abstractNumId w:val="6"/>
  </w:num>
  <w:num w:numId="11">
    <w:abstractNumId w:val="5"/>
  </w:num>
  <w:num w:numId="12">
    <w:abstractNumId w:val="30"/>
  </w:num>
  <w:num w:numId="13">
    <w:abstractNumId w:val="0"/>
  </w:num>
  <w:num w:numId="14">
    <w:abstractNumId w:val="28"/>
  </w:num>
  <w:num w:numId="15">
    <w:abstractNumId w:val="21"/>
  </w:num>
  <w:num w:numId="16">
    <w:abstractNumId w:val="16"/>
  </w:num>
  <w:num w:numId="17">
    <w:abstractNumId w:val="15"/>
  </w:num>
  <w:num w:numId="18">
    <w:abstractNumId w:val="33"/>
  </w:num>
  <w:num w:numId="19">
    <w:abstractNumId w:val="32"/>
  </w:num>
  <w:num w:numId="20">
    <w:abstractNumId w:val="22"/>
  </w:num>
  <w:num w:numId="21">
    <w:abstractNumId w:val="25"/>
  </w:num>
  <w:num w:numId="22">
    <w:abstractNumId w:val="13"/>
  </w:num>
  <w:num w:numId="23">
    <w:abstractNumId w:val="24"/>
  </w:num>
  <w:num w:numId="24">
    <w:abstractNumId w:val="14"/>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29"/>
  </w:num>
  <w:num w:numId="29">
    <w:abstractNumId w:val="2"/>
  </w:num>
  <w:num w:numId="30">
    <w:abstractNumId w:val="9"/>
  </w:num>
  <w:num w:numId="31">
    <w:abstractNumId w:val="3"/>
  </w:num>
  <w:num w:numId="32">
    <w:abstractNumId w:val="17"/>
  </w:num>
  <w:num w:numId="33">
    <w:abstractNumId w:val="20"/>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4B3B16"/>
    <w:rsid w:val="00000C4A"/>
    <w:rsid w:val="000029A3"/>
    <w:rsid w:val="00004DE0"/>
    <w:rsid w:val="00034E92"/>
    <w:rsid w:val="00041CED"/>
    <w:rsid w:val="00063DBF"/>
    <w:rsid w:val="000867DB"/>
    <w:rsid w:val="00086AB5"/>
    <w:rsid w:val="000878C8"/>
    <w:rsid w:val="000B1E99"/>
    <w:rsid w:val="000B6216"/>
    <w:rsid w:val="000E054E"/>
    <w:rsid w:val="000E5DC4"/>
    <w:rsid w:val="000F77B3"/>
    <w:rsid w:val="00110098"/>
    <w:rsid w:val="00120171"/>
    <w:rsid w:val="001233D4"/>
    <w:rsid w:val="0013257E"/>
    <w:rsid w:val="0016072B"/>
    <w:rsid w:val="00162330"/>
    <w:rsid w:val="00163342"/>
    <w:rsid w:val="0016466B"/>
    <w:rsid w:val="00175A32"/>
    <w:rsid w:val="0018445A"/>
    <w:rsid w:val="001B3A35"/>
    <w:rsid w:val="001E0C7B"/>
    <w:rsid w:val="001E1228"/>
    <w:rsid w:val="001F0407"/>
    <w:rsid w:val="001F05B7"/>
    <w:rsid w:val="001F1A74"/>
    <w:rsid w:val="002045B9"/>
    <w:rsid w:val="002108C1"/>
    <w:rsid w:val="00231C45"/>
    <w:rsid w:val="002475D7"/>
    <w:rsid w:val="0027370A"/>
    <w:rsid w:val="00296115"/>
    <w:rsid w:val="00297486"/>
    <w:rsid w:val="002A3D9D"/>
    <w:rsid w:val="002B6262"/>
    <w:rsid w:val="002C6763"/>
    <w:rsid w:val="002D286A"/>
    <w:rsid w:val="002D3F96"/>
    <w:rsid w:val="002F081C"/>
    <w:rsid w:val="002F11F0"/>
    <w:rsid w:val="00304530"/>
    <w:rsid w:val="00314AA8"/>
    <w:rsid w:val="003157F0"/>
    <w:rsid w:val="00321239"/>
    <w:rsid w:val="0032392F"/>
    <w:rsid w:val="00350314"/>
    <w:rsid w:val="00373121"/>
    <w:rsid w:val="00392167"/>
    <w:rsid w:val="00396F91"/>
    <w:rsid w:val="003A3EA1"/>
    <w:rsid w:val="003B0D33"/>
    <w:rsid w:val="003C5D11"/>
    <w:rsid w:val="003E219E"/>
    <w:rsid w:val="003E6E69"/>
    <w:rsid w:val="003F5F8B"/>
    <w:rsid w:val="0040369C"/>
    <w:rsid w:val="0040402C"/>
    <w:rsid w:val="0042612F"/>
    <w:rsid w:val="004477BF"/>
    <w:rsid w:val="00491532"/>
    <w:rsid w:val="00497959"/>
    <w:rsid w:val="00497DE4"/>
    <w:rsid w:val="004A6E65"/>
    <w:rsid w:val="004B3B16"/>
    <w:rsid w:val="004C12E2"/>
    <w:rsid w:val="004D0CF2"/>
    <w:rsid w:val="004D752E"/>
    <w:rsid w:val="004E2843"/>
    <w:rsid w:val="004E44FA"/>
    <w:rsid w:val="004F041C"/>
    <w:rsid w:val="004F150A"/>
    <w:rsid w:val="004F3477"/>
    <w:rsid w:val="0050003F"/>
    <w:rsid w:val="005002C2"/>
    <w:rsid w:val="005002D0"/>
    <w:rsid w:val="00503BCC"/>
    <w:rsid w:val="005068AC"/>
    <w:rsid w:val="0051406F"/>
    <w:rsid w:val="00530268"/>
    <w:rsid w:val="00531A4E"/>
    <w:rsid w:val="00533F94"/>
    <w:rsid w:val="00535AE8"/>
    <w:rsid w:val="005755D9"/>
    <w:rsid w:val="00576DD3"/>
    <w:rsid w:val="00577C0A"/>
    <w:rsid w:val="005A6866"/>
    <w:rsid w:val="005B0B25"/>
    <w:rsid w:val="005B10EE"/>
    <w:rsid w:val="005B1967"/>
    <w:rsid w:val="005C0865"/>
    <w:rsid w:val="005C3F78"/>
    <w:rsid w:val="005D234D"/>
    <w:rsid w:val="005D41DB"/>
    <w:rsid w:val="005D4567"/>
    <w:rsid w:val="00623F8A"/>
    <w:rsid w:val="006260FF"/>
    <w:rsid w:val="00626A92"/>
    <w:rsid w:val="00632341"/>
    <w:rsid w:val="006749ED"/>
    <w:rsid w:val="006A43F6"/>
    <w:rsid w:val="006B4921"/>
    <w:rsid w:val="006E5BF6"/>
    <w:rsid w:val="006F7280"/>
    <w:rsid w:val="00702066"/>
    <w:rsid w:val="0070258E"/>
    <w:rsid w:val="007157AF"/>
    <w:rsid w:val="0071685A"/>
    <w:rsid w:val="007215F0"/>
    <w:rsid w:val="007247D7"/>
    <w:rsid w:val="00730CD7"/>
    <w:rsid w:val="007353F9"/>
    <w:rsid w:val="00756BA5"/>
    <w:rsid w:val="007655F9"/>
    <w:rsid w:val="007821CC"/>
    <w:rsid w:val="00796E10"/>
    <w:rsid w:val="007A58AD"/>
    <w:rsid w:val="007B60DE"/>
    <w:rsid w:val="007D569D"/>
    <w:rsid w:val="007D6959"/>
    <w:rsid w:val="007E062E"/>
    <w:rsid w:val="007F3766"/>
    <w:rsid w:val="00802B0E"/>
    <w:rsid w:val="00803905"/>
    <w:rsid w:val="00812326"/>
    <w:rsid w:val="0082665C"/>
    <w:rsid w:val="0082770C"/>
    <w:rsid w:val="00833469"/>
    <w:rsid w:val="0083557B"/>
    <w:rsid w:val="00844D28"/>
    <w:rsid w:val="00846F91"/>
    <w:rsid w:val="00847B52"/>
    <w:rsid w:val="00850F6D"/>
    <w:rsid w:val="008646D8"/>
    <w:rsid w:val="00864E7B"/>
    <w:rsid w:val="00867B39"/>
    <w:rsid w:val="008756BC"/>
    <w:rsid w:val="008B05CC"/>
    <w:rsid w:val="008B53FA"/>
    <w:rsid w:val="008B5FCF"/>
    <w:rsid w:val="008C0253"/>
    <w:rsid w:val="008C0E6F"/>
    <w:rsid w:val="008C174F"/>
    <w:rsid w:val="008F1A60"/>
    <w:rsid w:val="00904EB8"/>
    <w:rsid w:val="009072DB"/>
    <w:rsid w:val="00951FA1"/>
    <w:rsid w:val="009523F9"/>
    <w:rsid w:val="00952545"/>
    <w:rsid w:val="00953B1B"/>
    <w:rsid w:val="00954C2A"/>
    <w:rsid w:val="009568B0"/>
    <w:rsid w:val="00976C71"/>
    <w:rsid w:val="00994110"/>
    <w:rsid w:val="009948F5"/>
    <w:rsid w:val="009B13B9"/>
    <w:rsid w:val="009C6878"/>
    <w:rsid w:val="009D0D95"/>
    <w:rsid w:val="00A0348D"/>
    <w:rsid w:val="00A16301"/>
    <w:rsid w:val="00A214EC"/>
    <w:rsid w:val="00A2518B"/>
    <w:rsid w:val="00A252CE"/>
    <w:rsid w:val="00A25D41"/>
    <w:rsid w:val="00A406B5"/>
    <w:rsid w:val="00A42BEF"/>
    <w:rsid w:val="00A51333"/>
    <w:rsid w:val="00A60AB7"/>
    <w:rsid w:val="00A60ECF"/>
    <w:rsid w:val="00A834F9"/>
    <w:rsid w:val="00A92C2E"/>
    <w:rsid w:val="00AA0DB3"/>
    <w:rsid w:val="00AB462B"/>
    <w:rsid w:val="00AC7ADD"/>
    <w:rsid w:val="00AD592E"/>
    <w:rsid w:val="00AE5898"/>
    <w:rsid w:val="00AF2081"/>
    <w:rsid w:val="00AF2226"/>
    <w:rsid w:val="00B323CD"/>
    <w:rsid w:val="00B54CF8"/>
    <w:rsid w:val="00B615F5"/>
    <w:rsid w:val="00B62AA0"/>
    <w:rsid w:val="00B65681"/>
    <w:rsid w:val="00B706E0"/>
    <w:rsid w:val="00B83C72"/>
    <w:rsid w:val="00B93AB3"/>
    <w:rsid w:val="00BA2C12"/>
    <w:rsid w:val="00BB52C8"/>
    <w:rsid w:val="00BC093C"/>
    <w:rsid w:val="00BC3156"/>
    <w:rsid w:val="00BD2F9B"/>
    <w:rsid w:val="00BF5307"/>
    <w:rsid w:val="00C26EA3"/>
    <w:rsid w:val="00C3363D"/>
    <w:rsid w:val="00C35E09"/>
    <w:rsid w:val="00C60A0E"/>
    <w:rsid w:val="00C75892"/>
    <w:rsid w:val="00C960AB"/>
    <w:rsid w:val="00CA6EAC"/>
    <w:rsid w:val="00CC5763"/>
    <w:rsid w:val="00CC7AFE"/>
    <w:rsid w:val="00CD6A55"/>
    <w:rsid w:val="00CE68E0"/>
    <w:rsid w:val="00D04DE7"/>
    <w:rsid w:val="00D053C8"/>
    <w:rsid w:val="00D11BCB"/>
    <w:rsid w:val="00D15A06"/>
    <w:rsid w:val="00D44132"/>
    <w:rsid w:val="00D46F07"/>
    <w:rsid w:val="00D47C01"/>
    <w:rsid w:val="00D51ADA"/>
    <w:rsid w:val="00D5496E"/>
    <w:rsid w:val="00D56ACD"/>
    <w:rsid w:val="00D64164"/>
    <w:rsid w:val="00D70641"/>
    <w:rsid w:val="00D71390"/>
    <w:rsid w:val="00D7408A"/>
    <w:rsid w:val="00D96EA9"/>
    <w:rsid w:val="00DA31DE"/>
    <w:rsid w:val="00DA7AB5"/>
    <w:rsid w:val="00DB3F33"/>
    <w:rsid w:val="00DD5071"/>
    <w:rsid w:val="00DE1959"/>
    <w:rsid w:val="00DE4BE1"/>
    <w:rsid w:val="00DF1D9C"/>
    <w:rsid w:val="00DF3485"/>
    <w:rsid w:val="00E05822"/>
    <w:rsid w:val="00E2027B"/>
    <w:rsid w:val="00E22AF9"/>
    <w:rsid w:val="00E24CE7"/>
    <w:rsid w:val="00E41A55"/>
    <w:rsid w:val="00E46AEF"/>
    <w:rsid w:val="00E533AF"/>
    <w:rsid w:val="00E56750"/>
    <w:rsid w:val="00E670D2"/>
    <w:rsid w:val="00E72DE7"/>
    <w:rsid w:val="00E84324"/>
    <w:rsid w:val="00E97B15"/>
    <w:rsid w:val="00EA0DEA"/>
    <w:rsid w:val="00EB1673"/>
    <w:rsid w:val="00EE637A"/>
    <w:rsid w:val="00EF3467"/>
    <w:rsid w:val="00F027A8"/>
    <w:rsid w:val="00F12F57"/>
    <w:rsid w:val="00F301DD"/>
    <w:rsid w:val="00F36756"/>
    <w:rsid w:val="00F82E3E"/>
    <w:rsid w:val="00F97BFF"/>
    <w:rsid w:val="00FA1B1B"/>
    <w:rsid w:val="00FA4071"/>
    <w:rsid w:val="00FA5363"/>
    <w:rsid w:val="00FB58F4"/>
    <w:rsid w:val="00FC21FD"/>
    <w:rsid w:val="00FC6C5E"/>
    <w:rsid w:val="00FE12B7"/>
    <w:rsid w:val="00FE3A3C"/>
    <w:rsid w:val="00FF24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B5D00"/>
  <w15:docId w15:val="{8CD60B38-DF8B-40E6-9285-93C995947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B3B16"/>
    <w:pPr>
      <w:widowControl w:val="0"/>
      <w:autoSpaceDE w:val="0"/>
      <w:autoSpaceDN w:val="0"/>
      <w:adjustRightInd w:val="0"/>
      <w:spacing w:after="200" w:line="360" w:lineRule="auto"/>
      <w:jc w:val="both"/>
    </w:pPr>
    <w:rPr>
      <w:rFonts w:cstheme="minorHAnsi"/>
      <w:color w:val="000000"/>
    </w:rPr>
  </w:style>
  <w:style w:type="paragraph" w:styleId="Heading1">
    <w:name w:val="heading 1"/>
    <w:basedOn w:val="Normal"/>
    <w:next w:val="Normal"/>
    <w:link w:val="Heading1Char"/>
    <w:uiPriority w:val="9"/>
    <w:qFormat/>
    <w:rsid w:val="004B3B1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4B3B1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3B16"/>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4B3B16"/>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4B3B16"/>
    <w:pPr>
      <w:ind w:left="720"/>
      <w:contextualSpacing/>
    </w:pPr>
  </w:style>
  <w:style w:type="paragraph" w:customStyle="1" w:styleId="selectionshareable">
    <w:name w:val="selectionshareable"/>
    <w:basedOn w:val="Normal"/>
    <w:rsid w:val="004B3B16"/>
    <w:pPr>
      <w:widowControl/>
      <w:autoSpaceDE/>
      <w:autoSpaceDN/>
      <w:adjustRightInd/>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styleId="Hyperlink">
    <w:name w:val="Hyperlink"/>
    <w:basedOn w:val="DefaultParagraphFont"/>
    <w:uiPriority w:val="99"/>
    <w:unhideWhenUsed/>
    <w:rsid w:val="00CD6A55"/>
    <w:rPr>
      <w:color w:val="0000FF"/>
      <w:u w:val="single"/>
    </w:rPr>
  </w:style>
  <w:style w:type="paragraph" w:customStyle="1" w:styleId="EndNoteBibliographyTitle">
    <w:name w:val="EndNote Bibliography Title"/>
    <w:basedOn w:val="Normal"/>
    <w:link w:val="EndNoteBibliographyTitleChar"/>
    <w:rsid w:val="00BC093C"/>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BC093C"/>
    <w:rPr>
      <w:rFonts w:ascii="Calibri" w:hAnsi="Calibri" w:cs="Calibri"/>
      <w:noProof/>
      <w:color w:val="000000"/>
      <w:lang w:val="en-US"/>
    </w:rPr>
  </w:style>
  <w:style w:type="paragraph" w:customStyle="1" w:styleId="EndNoteBibliography">
    <w:name w:val="EndNote Bibliography"/>
    <w:basedOn w:val="Normal"/>
    <w:link w:val="EndNoteBibliographyChar"/>
    <w:rsid w:val="00BC093C"/>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C093C"/>
    <w:rPr>
      <w:rFonts w:ascii="Calibri" w:hAnsi="Calibri" w:cs="Calibri"/>
      <w:noProof/>
      <w:color w:val="000000"/>
      <w:lang w:val="en-US"/>
    </w:rPr>
  </w:style>
  <w:style w:type="paragraph" w:styleId="NormalWeb">
    <w:name w:val="Normal (Web)"/>
    <w:basedOn w:val="Normal"/>
    <w:uiPriority w:val="99"/>
    <w:unhideWhenUsed/>
    <w:rsid w:val="0083557B"/>
    <w:pPr>
      <w:widowControl/>
      <w:autoSpaceDE/>
      <w:autoSpaceDN/>
      <w:adjustRightInd/>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styleId="Strong">
    <w:name w:val="Strong"/>
    <w:basedOn w:val="DefaultParagraphFont"/>
    <w:uiPriority w:val="22"/>
    <w:qFormat/>
    <w:rsid w:val="0083557B"/>
    <w:rPr>
      <w:b/>
      <w:bCs/>
    </w:rPr>
  </w:style>
  <w:style w:type="character" w:styleId="FollowedHyperlink">
    <w:name w:val="FollowedHyperlink"/>
    <w:basedOn w:val="DefaultParagraphFont"/>
    <w:uiPriority w:val="99"/>
    <w:semiHidden/>
    <w:unhideWhenUsed/>
    <w:rsid w:val="00A51333"/>
    <w:rPr>
      <w:color w:val="954F72" w:themeColor="followedHyperlink"/>
      <w:u w:val="single"/>
    </w:rPr>
  </w:style>
  <w:style w:type="character" w:customStyle="1" w:styleId="UnresolvedMention1">
    <w:name w:val="Unresolved Mention1"/>
    <w:basedOn w:val="DefaultParagraphFont"/>
    <w:uiPriority w:val="99"/>
    <w:semiHidden/>
    <w:unhideWhenUsed/>
    <w:rsid w:val="00497959"/>
    <w:rPr>
      <w:color w:val="605E5C"/>
      <w:shd w:val="clear" w:color="auto" w:fill="E1DFDD"/>
    </w:rPr>
  </w:style>
  <w:style w:type="paragraph" w:customStyle="1" w:styleId="Default">
    <w:name w:val="Default"/>
    <w:rsid w:val="00FF2466"/>
    <w:pPr>
      <w:autoSpaceDE w:val="0"/>
      <w:autoSpaceDN w:val="0"/>
      <w:adjustRightInd w:val="0"/>
      <w:spacing w:after="0" w:line="240" w:lineRule="auto"/>
    </w:pPr>
    <w:rPr>
      <w:rFonts w:ascii="Utopia Std" w:hAnsi="Utopia Std" w:cs="Utopia Std"/>
      <w:color w:val="000000"/>
      <w:sz w:val="24"/>
      <w:szCs w:val="24"/>
    </w:rPr>
  </w:style>
  <w:style w:type="character" w:customStyle="1" w:styleId="A5">
    <w:name w:val="A5"/>
    <w:uiPriority w:val="99"/>
    <w:rsid w:val="00314AA8"/>
    <w:rPr>
      <w:rFonts w:ascii="Circular Pro Bold" w:hAnsi="Circular Pro Bold" w:cs="Circular Pro Bold"/>
      <w:b/>
      <w:bCs/>
      <w:color w:val="000000"/>
      <w:sz w:val="16"/>
      <w:szCs w:val="16"/>
    </w:rPr>
  </w:style>
  <w:style w:type="paragraph" w:styleId="BalloonText">
    <w:name w:val="Balloon Text"/>
    <w:basedOn w:val="Normal"/>
    <w:link w:val="BalloonTextChar"/>
    <w:uiPriority w:val="99"/>
    <w:semiHidden/>
    <w:unhideWhenUsed/>
    <w:rsid w:val="001F05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05B7"/>
    <w:rPr>
      <w:rFonts w:ascii="Tahoma" w:hAnsi="Tahoma" w:cs="Tahoma"/>
      <w:color w:val="000000"/>
      <w:sz w:val="16"/>
      <w:szCs w:val="16"/>
    </w:rPr>
  </w:style>
  <w:style w:type="character" w:customStyle="1" w:styleId="UnresolvedMention2">
    <w:name w:val="Unresolved Mention2"/>
    <w:basedOn w:val="DefaultParagraphFont"/>
    <w:uiPriority w:val="99"/>
    <w:semiHidden/>
    <w:unhideWhenUsed/>
    <w:rsid w:val="003C5D11"/>
    <w:rPr>
      <w:color w:val="605E5C"/>
      <w:shd w:val="clear" w:color="auto" w:fill="E1DFDD"/>
    </w:rPr>
  </w:style>
  <w:style w:type="paragraph" w:styleId="Revision">
    <w:name w:val="Revision"/>
    <w:hidden/>
    <w:uiPriority w:val="99"/>
    <w:semiHidden/>
    <w:rsid w:val="00A214EC"/>
    <w:pPr>
      <w:spacing w:after="0" w:line="240" w:lineRule="auto"/>
    </w:pPr>
    <w:rPr>
      <w:rFonts w:cstheme="minorHAnsi"/>
      <w:color w:val="000000"/>
    </w:rPr>
  </w:style>
  <w:style w:type="character" w:styleId="CommentReference">
    <w:name w:val="annotation reference"/>
    <w:basedOn w:val="DefaultParagraphFont"/>
    <w:uiPriority w:val="99"/>
    <w:semiHidden/>
    <w:unhideWhenUsed/>
    <w:rsid w:val="00D71390"/>
    <w:rPr>
      <w:sz w:val="16"/>
      <w:szCs w:val="16"/>
    </w:rPr>
  </w:style>
  <w:style w:type="paragraph" w:styleId="CommentText">
    <w:name w:val="annotation text"/>
    <w:basedOn w:val="Normal"/>
    <w:link w:val="CommentTextChar"/>
    <w:uiPriority w:val="99"/>
    <w:semiHidden/>
    <w:unhideWhenUsed/>
    <w:rsid w:val="00D71390"/>
    <w:pPr>
      <w:spacing w:line="240" w:lineRule="auto"/>
    </w:pPr>
    <w:rPr>
      <w:sz w:val="20"/>
      <w:szCs w:val="20"/>
    </w:rPr>
  </w:style>
  <w:style w:type="character" w:customStyle="1" w:styleId="CommentTextChar">
    <w:name w:val="Comment Text Char"/>
    <w:basedOn w:val="DefaultParagraphFont"/>
    <w:link w:val="CommentText"/>
    <w:uiPriority w:val="99"/>
    <w:semiHidden/>
    <w:rsid w:val="00D71390"/>
    <w:rPr>
      <w:rFonts w:cstheme="minorHAnsi"/>
      <w:color w:val="000000"/>
      <w:sz w:val="20"/>
      <w:szCs w:val="20"/>
    </w:rPr>
  </w:style>
  <w:style w:type="paragraph" w:styleId="CommentSubject">
    <w:name w:val="annotation subject"/>
    <w:basedOn w:val="CommentText"/>
    <w:next w:val="CommentText"/>
    <w:link w:val="CommentSubjectChar"/>
    <w:uiPriority w:val="99"/>
    <w:semiHidden/>
    <w:unhideWhenUsed/>
    <w:rsid w:val="00D71390"/>
    <w:rPr>
      <w:b/>
      <w:bCs/>
    </w:rPr>
  </w:style>
  <w:style w:type="character" w:customStyle="1" w:styleId="CommentSubjectChar">
    <w:name w:val="Comment Subject Char"/>
    <w:basedOn w:val="CommentTextChar"/>
    <w:link w:val="CommentSubject"/>
    <w:uiPriority w:val="99"/>
    <w:semiHidden/>
    <w:rsid w:val="00D71390"/>
    <w:rPr>
      <w:rFonts w:cstheme="minorHAnsi"/>
      <w:b/>
      <w:bCs/>
      <w:color w:val="000000"/>
      <w:sz w:val="20"/>
      <w:szCs w:val="20"/>
    </w:rPr>
  </w:style>
  <w:style w:type="character" w:styleId="UnresolvedMention">
    <w:name w:val="Unresolved Mention"/>
    <w:basedOn w:val="DefaultParagraphFont"/>
    <w:uiPriority w:val="99"/>
    <w:rsid w:val="00FA5363"/>
    <w:rPr>
      <w:color w:val="605E5C"/>
      <w:shd w:val="clear" w:color="auto" w:fill="E1DFDD"/>
    </w:rPr>
  </w:style>
  <w:style w:type="paragraph" w:styleId="Header">
    <w:name w:val="header"/>
    <w:basedOn w:val="Normal"/>
    <w:link w:val="HeaderChar"/>
    <w:uiPriority w:val="99"/>
    <w:unhideWhenUsed/>
    <w:rsid w:val="004040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402C"/>
    <w:rPr>
      <w:rFonts w:cstheme="minorHAnsi"/>
      <w:color w:val="000000"/>
    </w:rPr>
  </w:style>
  <w:style w:type="paragraph" w:styleId="Footer">
    <w:name w:val="footer"/>
    <w:basedOn w:val="Normal"/>
    <w:link w:val="FooterChar"/>
    <w:uiPriority w:val="99"/>
    <w:unhideWhenUsed/>
    <w:rsid w:val="004040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402C"/>
    <w:rPr>
      <w:rFonts w:cstheme="minorHAns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365166">
      <w:bodyDiv w:val="1"/>
      <w:marLeft w:val="0"/>
      <w:marRight w:val="0"/>
      <w:marTop w:val="0"/>
      <w:marBottom w:val="0"/>
      <w:divBdr>
        <w:top w:val="none" w:sz="0" w:space="0" w:color="auto"/>
        <w:left w:val="none" w:sz="0" w:space="0" w:color="auto"/>
        <w:bottom w:val="none" w:sz="0" w:space="0" w:color="auto"/>
        <w:right w:val="none" w:sz="0" w:space="0" w:color="auto"/>
      </w:divBdr>
      <w:divsChild>
        <w:div w:id="972366372">
          <w:marLeft w:val="0"/>
          <w:marRight w:val="0"/>
          <w:marTop w:val="0"/>
          <w:marBottom w:val="0"/>
          <w:divBdr>
            <w:top w:val="none" w:sz="0" w:space="0" w:color="auto"/>
            <w:left w:val="none" w:sz="0" w:space="0" w:color="auto"/>
            <w:bottom w:val="none" w:sz="0" w:space="0" w:color="auto"/>
            <w:right w:val="none" w:sz="0" w:space="0" w:color="auto"/>
          </w:divBdr>
        </w:div>
        <w:div w:id="1635791085">
          <w:marLeft w:val="0"/>
          <w:marRight w:val="0"/>
          <w:marTop w:val="0"/>
          <w:marBottom w:val="0"/>
          <w:divBdr>
            <w:top w:val="none" w:sz="0" w:space="0" w:color="auto"/>
            <w:left w:val="none" w:sz="0" w:space="0" w:color="auto"/>
            <w:bottom w:val="none" w:sz="0" w:space="0" w:color="auto"/>
            <w:right w:val="none" w:sz="0" w:space="0" w:color="auto"/>
          </w:divBdr>
        </w:div>
      </w:divsChild>
    </w:div>
    <w:div w:id="235358303">
      <w:bodyDiv w:val="1"/>
      <w:marLeft w:val="0"/>
      <w:marRight w:val="0"/>
      <w:marTop w:val="0"/>
      <w:marBottom w:val="0"/>
      <w:divBdr>
        <w:top w:val="none" w:sz="0" w:space="0" w:color="auto"/>
        <w:left w:val="none" w:sz="0" w:space="0" w:color="auto"/>
        <w:bottom w:val="none" w:sz="0" w:space="0" w:color="auto"/>
        <w:right w:val="none" w:sz="0" w:space="0" w:color="auto"/>
      </w:divBdr>
    </w:div>
    <w:div w:id="387069695">
      <w:bodyDiv w:val="1"/>
      <w:marLeft w:val="0"/>
      <w:marRight w:val="0"/>
      <w:marTop w:val="0"/>
      <w:marBottom w:val="0"/>
      <w:divBdr>
        <w:top w:val="none" w:sz="0" w:space="0" w:color="auto"/>
        <w:left w:val="none" w:sz="0" w:space="0" w:color="auto"/>
        <w:bottom w:val="none" w:sz="0" w:space="0" w:color="auto"/>
        <w:right w:val="none" w:sz="0" w:space="0" w:color="auto"/>
      </w:divBdr>
    </w:div>
    <w:div w:id="877739161">
      <w:bodyDiv w:val="1"/>
      <w:marLeft w:val="0"/>
      <w:marRight w:val="0"/>
      <w:marTop w:val="0"/>
      <w:marBottom w:val="0"/>
      <w:divBdr>
        <w:top w:val="none" w:sz="0" w:space="0" w:color="auto"/>
        <w:left w:val="none" w:sz="0" w:space="0" w:color="auto"/>
        <w:bottom w:val="none" w:sz="0" w:space="0" w:color="auto"/>
        <w:right w:val="none" w:sz="0" w:space="0" w:color="auto"/>
      </w:divBdr>
    </w:div>
    <w:div w:id="1017658485">
      <w:bodyDiv w:val="1"/>
      <w:marLeft w:val="0"/>
      <w:marRight w:val="0"/>
      <w:marTop w:val="0"/>
      <w:marBottom w:val="0"/>
      <w:divBdr>
        <w:top w:val="none" w:sz="0" w:space="0" w:color="auto"/>
        <w:left w:val="none" w:sz="0" w:space="0" w:color="auto"/>
        <w:bottom w:val="none" w:sz="0" w:space="0" w:color="auto"/>
        <w:right w:val="none" w:sz="0" w:space="0" w:color="auto"/>
      </w:divBdr>
    </w:div>
    <w:div w:id="1504008158">
      <w:bodyDiv w:val="1"/>
      <w:marLeft w:val="0"/>
      <w:marRight w:val="0"/>
      <w:marTop w:val="0"/>
      <w:marBottom w:val="0"/>
      <w:divBdr>
        <w:top w:val="none" w:sz="0" w:space="0" w:color="auto"/>
        <w:left w:val="none" w:sz="0" w:space="0" w:color="auto"/>
        <w:bottom w:val="none" w:sz="0" w:space="0" w:color="auto"/>
        <w:right w:val="none" w:sz="0" w:space="0" w:color="auto"/>
      </w:divBdr>
      <w:divsChild>
        <w:div w:id="498807943">
          <w:marLeft w:val="576"/>
          <w:marRight w:val="0"/>
          <w:marTop w:val="80"/>
          <w:marBottom w:val="0"/>
          <w:divBdr>
            <w:top w:val="none" w:sz="0" w:space="0" w:color="auto"/>
            <w:left w:val="none" w:sz="0" w:space="0" w:color="auto"/>
            <w:bottom w:val="none" w:sz="0" w:space="0" w:color="auto"/>
            <w:right w:val="none" w:sz="0" w:space="0" w:color="auto"/>
          </w:divBdr>
        </w:div>
        <w:div w:id="531964504">
          <w:marLeft w:val="979"/>
          <w:marRight w:val="0"/>
          <w:marTop w:val="65"/>
          <w:marBottom w:val="0"/>
          <w:divBdr>
            <w:top w:val="none" w:sz="0" w:space="0" w:color="auto"/>
            <w:left w:val="none" w:sz="0" w:space="0" w:color="auto"/>
            <w:bottom w:val="none" w:sz="0" w:space="0" w:color="auto"/>
            <w:right w:val="none" w:sz="0" w:space="0" w:color="auto"/>
          </w:divBdr>
        </w:div>
        <w:div w:id="1169172957">
          <w:marLeft w:val="979"/>
          <w:marRight w:val="0"/>
          <w:marTop w:val="65"/>
          <w:marBottom w:val="0"/>
          <w:divBdr>
            <w:top w:val="none" w:sz="0" w:space="0" w:color="auto"/>
            <w:left w:val="none" w:sz="0" w:space="0" w:color="auto"/>
            <w:bottom w:val="none" w:sz="0" w:space="0" w:color="auto"/>
            <w:right w:val="none" w:sz="0" w:space="0" w:color="auto"/>
          </w:divBdr>
        </w:div>
        <w:div w:id="1232274264">
          <w:marLeft w:val="979"/>
          <w:marRight w:val="0"/>
          <w:marTop w:val="65"/>
          <w:marBottom w:val="0"/>
          <w:divBdr>
            <w:top w:val="none" w:sz="0" w:space="0" w:color="auto"/>
            <w:left w:val="none" w:sz="0" w:space="0" w:color="auto"/>
            <w:bottom w:val="none" w:sz="0" w:space="0" w:color="auto"/>
            <w:right w:val="none" w:sz="0" w:space="0" w:color="auto"/>
          </w:divBdr>
        </w:div>
        <w:div w:id="1596984326">
          <w:marLeft w:val="979"/>
          <w:marRight w:val="0"/>
          <w:marTop w:val="65"/>
          <w:marBottom w:val="0"/>
          <w:divBdr>
            <w:top w:val="none" w:sz="0" w:space="0" w:color="auto"/>
            <w:left w:val="none" w:sz="0" w:space="0" w:color="auto"/>
            <w:bottom w:val="none" w:sz="0" w:space="0" w:color="auto"/>
            <w:right w:val="none" w:sz="0" w:space="0" w:color="auto"/>
          </w:divBdr>
        </w:div>
      </w:divsChild>
    </w:div>
    <w:div w:id="1602951382">
      <w:bodyDiv w:val="1"/>
      <w:marLeft w:val="0"/>
      <w:marRight w:val="0"/>
      <w:marTop w:val="0"/>
      <w:marBottom w:val="0"/>
      <w:divBdr>
        <w:top w:val="none" w:sz="0" w:space="0" w:color="auto"/>
        <w:left w:val="none" w:sz="0" w:space="0" w:color="auto"/>
        <w:bottom w:val="none" w:sz="0" w:space="0" w:color="auto"/>
        <w:right w:val="none" w:sz="0" w:space="0" w:color="auto"/>
      </w:divBdr>
    </w:div>
    <w:div w:id="1618754949">
      <w:bodyDiv w:val="1"/>
      <w:marLeft w:val="0"/>
      <w:marRight w:val="0"/>
      <w:marTop w:val="0"/>
      <w:marBottom w:val="0"/>
      <w:divBdr>
        <w:top w:val="none" w:sz="0" w:space="0" w:color="auto"/>
        <w:left w:val="none" w:sz="0" w:space="0" w:color="auto"/>
        <w:bottom w:val="none" w:sz="0" w:space="0" w:color="auto"/>
        <w:right w:val="none" w:sz="0" w:space="0" w:color="auto"/>
      </w:divBdr>
    </w:div>
    <w:div w:id="1652365857">
      <w:bodyDiv w:val="1"/>
      <w:marLeft w:val="0"/>
      <w:marRight w:val="0"/>
      <w:marTop w:val="0"/>
      <w:marBottom w:val="0"/>
      <w:divBdr>
        <w:top w:val="none" w:sz="0" w:space="0" w:color="auto"/>
        <w:left w:val="none" w:sz="0" w:space="0" w:color="auto"/>
        <w:bottom w:val="none" w:sz="0" w:space="0" w:color="auto"/>
        <w:right w:val="none" w:sz="0" w:space="0" w:color="auto"/>
      </w:divBdr>
      <w:divsChild>
        <w:div w:id="695615601">
          <w:marLeft w:val="0"/>
          <w:marRight w:val="0"/>
          <w:marTop w:val="0"/>
          <w:marBottom w:val="0"/>
          <w:divBdr>
            <w:top w:val="none" w:sz="0" w:space="0" w:color="auto"/>
            <w:left w:val="none" w:sz="0" w:space="0" w:color="auto"/>
            <w:bottom w:val="none" w:sz="0" w:space="0" w:color="auto"/>
            <w:right w:val="none" w:sz="0" w:space="0" w:color="auto"/>
          </w:divBdr>
        </w:div>
        <w:div w:id="1372878415">
          <w:marLeft w:val="0"/>
          <w:marRight w:val="0"/>
          <w:marTop w:val="0"/>
          <w:marBottom w:val="0"/>
          <w:divBdr>
            <w:top w:val="none" w:sz="0" w:space="0" w:color="auto"/>
            <w:left w:val="none" w:sz="0" w:space="0" w:color="auto"/>
            <w:bottom w:val="none" w:sz="0" w:space="0" w:color="auto"/>
            <w:right w:val="none" w:sz="0" w:space="0" w:color="auto"/>
          </w:divBdr>
        </w:div>
      </w:divsChild>
    </w:div>
    <w:div w:id="1805417274">
      <w:bodyDiv w:val="1"/>
      <w:marLeft w:val="0"/>
      <w:marRight w:val="0"/>
      <w:marTop w:val="0"/>
      <w:marBottom w:val="0"/>
      <w:divBdr>
        <w:top w:val="none" w:sz="0" w:space="0" w:color="auto"/>
        <w:left w:val="none" w:sz="0" w:space="0" w:color="auto"/>
        <w:bottom w:val="none" w:sz="0" w:space="0" w:color="auto"/>
        <w:right w:val="none" w:sz="0" w:space="0" w:color="auto"/>
      </w:divBdr>
    </w:div>
    <w:div w:id="1904366142">
      <w:bodyDiv w:val="1"/>
      <w:marLeft w:val="0"/>
      <w:marRight w:val="0"/>
      <w:marTop w:val="0"/>
      <w:marBottom w:val="0"/>
      <w:divBdr>
        <w:top w:val="none" w:sz="0" w:space="0" w:color="auto"/>
        <w:left w:val="none" w:sz="0" w:space="0" w:color="auto"/>
        <w:bottom w:val="none" w:sz="0" w:space="0" w:color="auto"/>
        <w:right w:val="none" w:sz="0" w:space="0" w:color="auto"/>
      </w:divBdr>
      <w:divsChild>
        <w:div w:id="2036230748">
          <w:marLeft w:val="547"/>
          <w:marRight w:val="0"/>
          <w:marTop w:val="0"/>
          <w:marBottom w:val="0"/>
          <w:divBdr>
            <w:top w:val="none" w:sz="0" w:space="0" w:color="auto"/>
            <w:left w:val="none" w:sz="0" w:space="0" w:color="auto"/>
            <w:bottom w:val="none" w:sz="0" w:space="0" w:color="auto"/>
            <w:right w:val="none" w:sz="0" w:space="0" w:color="auto"/>
          </w:divBdr>
        </w:div>
      </w:divsChild>
    </w:div>
    <w:div w:id="1933659611">
      <w:bodyDiv w:val="1"/>
      <w:marLeft w:val="0"/>
      <w:marRight w:val="0"/>
      <w:marTop w:val="0"/>
      <w:marBottom w:val="0"/>
      <w:divBdr>
        <w:top w:val="none" w:sz="0" w:space="0" w:color="auto"/>
        <w:left w:val="none" w:sz="0" w:space="0" w:color="auto"/>
        <w:bottom w:val="none" w:sz="0" w:space="0" w:color="auto"/>
        <w:right w:val="none" w:sz="0" w:space="0" w:color="auto"/>
      </w:divBdr>
    </w:div>
    <w:div w:id="1971355320">
      <w:bodyDiv w:val="1"/>
      <w:marLeft w:val="0"/>
      <w:marRight w:val="0"/>
      <w:marTop w:val="0"/>
      <w:marBottom w:val="0"/>
      <w:divBdr>
        <w:top w:val="none" w:sz="0" w:space="0" w:color="auto"/>
        <w:left w:val="none" w:sz="0" w:space="0" w:color="auto"/>
        <w:bottom w:val="none" w:sz="0" w:space="0" w:color="auto"/>
        <w:right w:val="none" w:sz="0" w:space="0" w:color="auto"/>
      </w:divBdr>
    </w:div>
    <w:div w:id="1977950344">
      <w:bodyDiv w:val="1"/>
      <w:marLeft w:val="0"/>
      <w:marRight w:val="0"/>
      <w:marTop w:val="0"/>
      <w:marBottom w:val="0"/>
      <w:divBdr>
        <w:top w:val="none" w:sz="0" w:space="0" w:color="auto"/>
        <w:left w:val="none" w:sz="0" w:space="0" w:color="auto"/>
        <w:bottom w:val="none" w:sz="0" w:space="0" w:color="auto"/>
        <w:right w:val="none" w:sz="0" w:space="0" w:color="auto"/>
      </w:divBdr>
    </w:div>
    <w:div w:id="206859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fcom.org.uk/__data/assets/pdf_file/0037/194878/technology-tracker-2020-uk-data-tables.pdf" TargetMode="Externa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https://www.england.nhs.uk/statistics/statistical-work-areas/rtt-waiting-times/" TargetMode="External"/><Relationship Id="rId4" Type="http://schemas.openxmlformats.org/officeDocument/2006/relationships/settings" Target="settings.xml"/><Relationship Id="rId9" Type="http://schemas.openxmlformats.org/officeDocument/2006/relationships/hyperlink" Target="https://topol.hee.nhs.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8A940D9A7206E408864450ED57D539C" ma:contentTypeVersion="40" ma:contentTypeDescription="Create a new document." ma:contentTypeScope="" ma:versionID="e3d7187ff45b84c24598264645e7d326">
  <xsd:schema xmlns:xsd="http://www.w3.org/2001/XMLSchema" xmlns:xs="http://www.w3.org/2001/XMLSchema" xmlns:p="http://schemas.microsoft.com/office/2006/metadata/properties" xmlns:ns1="http://schemas.microsoft.com/sharepoint/v3" xmlns:ns2="c1b4e1ac-85d4-451c-80d5-34c8d54af234" xmlns:ns3="22693012-23ee-4cdf-b53f-a4a7b444a349" xmlns:ns4="ebd64cbd-6cf5-435c-bd4a-b8fc9bc14ad4" xmlns:ns5="cccaf3ac-2de9-44d4-aa31-54302fceb5f7" targetNamespace="http://schemas.microsoft.com/office/2006/metadata/properties" ma:root="true" ma:fieldsID="1872e64a086dd79b8bdda50c7079ad40" ns1:_="" ns2:_="" ns3:_="" ns4:_="" ns5:_="">
    <xsd:import namespace="http://schemas.microsoft.com/sharepoint/v3"/>
    <xsd:import namespace="c1b4e1ac-85d4-451c-80d5-34c8d54af234"/>
    <xsd:import namespace="22693012-23ee-4cdf-b53f-a4a7b444a349"/>
    <xsd:import namespace="ebd64cbd-6cf5-435c-bd4a-b8fc9bc14ad4"/>
    <xsd:import namespace="cccaf3ac-2de9-44d4-aa31-54302fceb5f7"/>
    <xsd:element name="properties">
      <xsd:complexType>
        <xsd:sequence>
          <xsd:element name="documentManagement">
            <xsd:complexType>
              <xsd:all>
                <xsd:element ref="ns1:_ip_UnifiedCompliancePolicyProperties" minOccurs="0"/>
                <xsd:element ref="ns1:_ip_UnifiedCompliancePolicyUIAction" minOccurs="0"/>
                <xsd:element ref="ns2:SharedWithUsers" minOccurs="0"/>
                <xsd:element ref="ns2:SharedWithDetails" minOccurs="0"/>
                <xsd:element ref="ns3:Review_x0020_Date" minOccurs="0"/>
                <xsd:element ref="ns3:MediaServiceDateTaken" minOccurs="0"/>
                <xsd:element ref="ns4:SharedWithUsers" minOccurs="0"/>
                <xsd:element ref="ns4:SharedWithDetails" minOccurs="0"/>
                <xsd:element ref="ns3:lcf76f155ced4ddcb4097134ff3c332f" minOccurs="0"/>
                <xsd:element ref="ns5:TaxCatchAll"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b4e1ac-85d4-451c-80d5-34c8d54af234"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93012-23ee-4cdf-b53f-a4a7b444a349" elementFormDefault="qualified">
    <xsd:import namespace="http://schemas.microsoft.com/office/2006/documentManagement/types"/>
    <xsd:import namespace="http://schemas.microsoft.com/office/infopath/2007/PartnerControls"/>
    <xsd:element name="Review_x0020_Date" ma:index="12" nillable="true" ma:displayName="Review date" ma:indexed="true" ma:internalName="Review_x0020_Dat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43b0bdb-28a8-4814-9fb9-624c17c095fc"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d64cbd-6cf5-435c-bd4a-b8fc9bc14ad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0"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caf3ac-2de9-44d4-aa31-54302fceb5f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231dacd-326e-4c85-be6a-59c44c7bc009}" ma:internalName="TaxCatchAll" ma:showField="CatchAllData" ma:web="ebd64cbd-6cf5-435c-bd4a-b8fc9bc14a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view_x0020_Date xmlns="22693012-23ee-4cdf-b53f-a4a7b444a349" xsi:nil="true"/>
    <lcf76f155ced4ddcb4097134ff3c332f xmlns="22693012-23ee-4cdf-b53f-a4a7b444a34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cccaf3ac-2de9-44d4-aa31-54302fceb5f7" xsi:nil="true"/>
  </documentManagement>
</p:properties>
</file>

<file path=customXml/itemProps1.xml><?xml version="1.0" encoding="utf-8"?>
<ds:datastoreItem xmlns:ds="http://schemas.openxmlformats.org/officeDocument/2006/customXml" ds:itemID="{F9E19EDE-30A9-794A-99B3-6965B4F243DD}">
  <ds:schemaRefs>
    <ds:schemaRef ds:uri="http://schemas.openxmlformats.org/officeDocument/2006/bibliography"/>
  </ds:schemaRefs>
</ds:datastoreItem>
</file>

<file path=customXml/itemProps2.xml><?xml version="1.0" encoding="utf-8"?>
<ds:datastoreItem xmlns:ds="http://schemas.openxmlformats.org/officeDocument/2006/customXml" ds:itemID="{56B66D5D-9DD4-45D5-BD35-A55E394A0538}"/>
</file>

<file path=customXml/itemProps3.xml><?xml version="1.0" encoding="utf-8"?>
<ds:datastoreItem xmlns:ds="http://schemas.openxmlformats.org/officeDocument/2006/customXml" ds:itemID="{8CA35936-46EF-42AE-B094-C9A323B76B23}"/>
</file>

<file path=customXml/itemProps4.xml><?xml version="1.0" encoding="utf-8"?>
<ds:datastoreItem xmlns:ds="http://schemas.openxmlformats.org/officeDocument/2006/customXml" ds:itemID="{64A8D9FF-26A2-490E-A4CD-6B72D09B0089}"/>
</file>

<file path=docProps/app.xml><?xml version="1.0" encoding="utf-8"?>
<Properties xmlns="http://schemas.openxmlformats.org/officeDocument/2006/extended-properties" xmlns:vt="http://schemas.openxmlformats.org/officeDocument/2006/docPropsVTypes">
  <Template>Normal.dotm</Template>
  <TotalTime>6984</TotalTime>
  <Pages>19</Pages>
  <Words>12238</Words>
  <Characters>69759</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
    </vt:vector>
  </TitlesOfParts>
  <Company>Royal Wolverhampton NHS TRust</Company>
  <LinksUpToDate>false</LinksUpToDate>
  <CharactersWithSpaces>81834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 Cole</dc:creator>
  <cp:lastModifiedBy>Emma Orrock</cp:lastModifiedBy>
  <cp:revision>19</cp:revision>
  <dcterms:created xsi:type="dcterms:W3CDTF">2022-04-29T16:26:00Z</dcterms:created>
  <dcterms:modified xsi:type="dcterms:W3CDTF">2022-05-04T14:03:00Z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0x01010098A940D9A7206E408864450ED57D539C</vt:lpwstr>
  </property>
  <property fmtid="{D5CDD505-2E9C-101B-9397-08002B2CF9AE}" pid="3" name="MediaServiceImageTags">
    <vt:lpwstr/>
  </property>
</Properties>
</file>